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5CC723">
      <w:pPr>
        <w:keepNext/>
        <w:keepLines/>
        <w:widowControl w:val="0"/>
        <w:spacing w:before="100" w:after="100"/>
        <w:jc w:val="center"/>
        <w:outlineLvl w:val="0"/>
        <w:rPr>
          <w:rFonts w:hint="eastAsia" w:ascii="Calibri" w:hAnsi="Calibri" w:eastAsia="宋体" w:cs="Times New Roman"/>
          <w:b/>
          <w:bCs/>
          <w:color w:val="auto"/>
          <w:kern w:val="44"/>
          <w:sz w:val="32"/>
          <w:szCs w:val="44"/>
          <w:highlight w:val="none"/>
          <w:lang w:val="en-US" w:eastAsia="zh-CN" w:bidi="ar-SA"/>
        </w:rPr>
      </w:pPr>
      <w:r>
        <w:rPr>
          <w:rFonts w:hint="eastAsia" w:ascii="Calibri" w:hAnsi="Calibri" w:eastAsia="宋体" w:cs="Times New Roman"/>
          <w:b/>
          <w:bCs/>
          <w:color w:val="auto"/>
          <w:kern w:val="44"/>
          <w:sz w:val="32"/>
          <w:szCs w:val="44"/>
          <w:highlight w:val="none"/>
          <w:lang w:val="en-US" w:eastAsia="zh-CN" w:bidi="ar-SA"/>
        </w:rPr>
        <w:t>服务需求及技术要求</w:t>
      </w:r>
    </w:p>
    <w:p w14:paraId="34FF5F6E">
      <w:pPr>
        <w:keepNext/>
        <w:keepLines/>
        <w:widowControl w:val="0"/>
        <w:autoSpaceDE/>
        <w:autoSpaceDN/>
        <w:adjustRightInd/>
        <w:spacing w:before="0" w:line="360" w:lineRule="auto"/>
        <w:jc w:val="left"/>
        <w:outlineLvl w:val="1"/>
        <w:rPr>
          <w:rFonts w:ascii="Cambria" w:hAnsi="Cambria" w:eastAsia="宋体" w:cs="Times New Roman"/>
          <w:b/>
          <w:bCs/>
          <w:color w:val="auto"/>
          <w:kern w:val="2"/>
          <w:sz w:val="28"/>
          <w:szCs w:val="32"/>
          <w:highlight w:val="none"/>
          <w:lang w:val="en-US" w:eastAsia="zh-CN" w:bidi="ar-SA"/>
        </w:rPr>
      </w:pPr>
      <w:r>
        <w:rPr>
          <w:rFonts w:hint="eastAsia" w:ascii="Cambria" w:hAnsi="Cambria" w:eastAsia="宋体" w:cs="Times New Roman"/>
          <w:b/>
          <w:bCs/>
          <w:color w:val="auto"/>
          <w:kern w:val="2"/>
          <w:sz w:val="28"/>
          <w:szCs w:val="32"/>
          <w:highlight w:val="none"/>
          <w:lang w:val="en-US" w:eastAsia="zh-CN" w:bidi="ar-SA"/>
        </w:rPr>
        <w:t>一、项目概况</w:t>
      </w:r>
    </w:p>
    <w:p w14:paraId="37A80B43">
      <w:pPr>
        <w:spacing w:line="360" w:lineRule="auto"/>
        <w:ind w:firstLine="480" w:firstLineChars="200"/>
        <w:jc w:val="left"/>
        <w:rPr>
          <w:rFonts w:ascii="宋体" w:hAnsi="宋体" w:eastAsia="宋体" w:cs="Times New Roman"/>
          <w:b/>
          <w:color w:val="auto"/>
          <w:sz w:val="24"/>
          <w:highlight w:val="none"/>
        </w:rPr>
      </w:pPr>
      <w:r>
        <w:rPr>
          <w:rFonts w:hint="eastAsia" w:ascii="宋体" w:hAnsi="宋体" w:eastAsia="宋体" w:cs="Times New Roman"/>
          <w:color w:val="auto"/>
          <w:sz w:val="24"/>
          <w:highlight w:val="none"/>
        </w:rPr>
        <w:t>1、本项目共计</w:t>
      </w:r>
      <w:r>
        <w:rPr>
          <w:rFonts w:hint="eastAsia" w:ascii="宋体" w:hAnsi="宋体" w:eastAsia="宋体" w:cs="Times New Roman"/>
          <w:color w:val="auto"/>
          <w:sz w:val="24"/>
          <w:highlight w:val="none"/>
          <w:lang w:val="en-US" w:eastAsia="zh-CN"/>
        </w:rPr>
        <w:t>约</w:t>
      </w:r>
      <w:r>
        <w:rPr>
          <w:rFonts w:hint="eastAsia" w:ascii="宋体" w:hAnsi="宋体" w:eastAsia="宋体" w:cs="Times New Roman"/>
          <w:b/>
          <w:color w:val="auto"/>
          <w:sz w:val="24"/>
          <w:highlight w:val="none"/>
          <w:lang w:val="en-US" w:eastAsia="zh-CN"/>
        </w:rPr>
        <w:t>1492亩（具体地块面积以第三方实际测绘亩数为准）</w:t>
      </w:r>
      <w:r>
        <w:rPr>
          <w:rFonts w:hint="eastAsia" w:ascii="宋体" w:hAnsi="宋体" w:eastAsia="宋体" w:cs="Times New Roman"/>
          <w:color w:val="auto"/>
          <w:sz w:val="24"/>
          <w:highlight w:val="none"/>
        </w:rPr>
        <w:t>，实现蓝莓种植的水肥一体化，</w:t>
      </w:r>
      <w:r>
        <w:rPr>
          <w:rFonts w:hint="eastAsia" w:ascii="宋体" w:hAnsi="宋体" w:eastAsia="宋体" w:cs="宋体"/>
          <w:color w:val="auto"/>
          <w:sz w:val="24"/>
          <w:highlight w:val="none"/>
        </w:rPr>
        <w:t>帮助</w:t>
      </w:r>
      <w:r>
        <w:rPr>
          <w:rFonts w:hint="eastAsia" w:ascii="宋体" w:hAnsi="宋体" w:eastAsia="宋体" w:cs="宋体"/>
          <w:color w:val="auto"/>
          <w:sz w:val="24"/>
          <w:highlight w:val="none"/>
          <w:lang w:eastAsia="zh-CN"/>
        </w:rPr>
        <w:t>招标人</w:t>
      </w:r>
      <w:r>
        <w:rPr>
          <w:rFonts w:hint="eastAsia" w:ascii="宋体" w:hAnsi="宋体" w:eastAsia="宋体" w:cs="宋体"/>
          <w:color w:val="auto"/>
          <w:sz w:val="24"/>
          <w:highlight w:val="none"/>
        </w:rPr>
        <w:t>方便的实现水肥一体化管理，实现对灌溉、施肥的定时、定量控制，节水节肥、省时省力。</w:t>
      </w:r>
    </w:p>
    <w:p w14:paraId="5F41A423">
      <w:pPr>
        <w:spacing w:line="360" w:lineRule="auto"/>
        <w:ind w:firstLine="480" w:firstLineChars="200"/>
        <w:jc w:val="left"/>
        <w:rPr>
          <w:rFonts w:ascii="宋体" w:hAnsi="宋体" w:eastAsia="宋体" w:cs="Times New Roman"/>
          <w:color w:val="auto"/>
          <w:sz w:val="24"/>
          <w:highlight w:val="none"/>
        </w:rPr>
      </w:pPr>
      <w:r>
        <w:rPr>
          <w:rFonts w:hint="eastAsia" w:ascii="宋体" w:hAnsi="宋体" w:eastAsia="宋体" w:cs="Times New Roman"/>
          <w:color w:val="auto"/>
          <w:sz w:val="24"/>
          <w:highlight w:val="none"/>
        </w:rPr>
        <w:t>2、报价要求</w:t>
      </w:r>
    </w:p>
    <w:p w14:paraId="3E3A9296">
      <w:pPr>
        <w:spacing w:line="360" w:lineRule="auto"/>
        <w:ind w:firstLine="480" w:firstLineChars="200"/>
        <w:jc w:val="left"/>
        <w:rPr>
          <w:rFonts w:ascii="宋体" w:hAnsi="宋体" w:eastAsia="宋体" w:cs="Times New Roman"/>
          <w:color w:val="auto"/>
          <w:sz w:val="24"/>
          <w:highlight w:val="none"/>
        </w:rPr>
      </w:pPr>
      <w:r>
        <w:rPr>
          <w:rFonts w:hint="eastAsia" w:ascii="宋体" w:hAnsi="宋体" w:eastAsia="宋体" w:cs="Times New Roman"/>
          <w:color w:val="auto"/>
          <w:sz w:val="24"/>
          <w:highlight w:val="none"/>
        </w:rPr>
        <w:t>投标人应在专业技术、设备设施、人员组织、业绩经验等方面具有设计、制造、质量控制、经营管理的相应的资格和能力。</w:t>
      </w:r>
    </w:p>
    <w:p w14:paraId="3CD22630">
      <w:pPr>
        <w:spacing w:line="360" w:lineRule="auto"/>
        <w:ind w:firstLine="482" w:firstLineChars="200"/>
        <w:jc w:val="left"/>
        <w:rPr>
          <w:rFonts w:hint="default" w:ascii="宋体" w:hAnsi="宋体" w:eastAsia="宋体" w:cs="Times New Roman"/>
          <w:b/>
          <w:color w:val="auto"/>
          <w:sz w:val="24"/>
          <w:highlight w:val="none"/>
          <w:lang w:val="en-US" w:eastAsia="zh-CN"/>
        </w:rPr>
      </w:pPr>
      <w:r>
        <w:rPr>
          <w:rFonts w:hint="eastAsia" w:ascii="宋体" w:hAnsi="宋体" w:eastAsia="宋体" w:cs="Times New Roman"/>
          <w:b/>
          <w:color w:val="auto"/>
          <w:sz w:val="24"/>
          <w:highlight w:val="none"/>
        </w:rPr>
        <w:t>投标人的报价</w:t>
      </w:r>
      <w:r>
        <w:rPr>
          <w:rFonts w:ascii="宋体" w:hAnsi="宋体" w:eastAsia="宋体" w:cs="Times New Roman"/>
          <w:b/>
          <w:color w:val="auto"/>
          <w:sz w:val="24"/>
          <w:highlight w:val="none"/>
        </w:rPr>
        <w:t>平均亩单价</w:t>
      </w:r>
      <w:r>
        <w:rPr>
          <w:rFonts w:hint="eastAsia" w:ascii="宋体" w:hAnsi="宋体" w:eastAsia="宋体" w:cs="Times New Roman"/>
          <w:b/>
          <w:color w:val="auto"/>
          <w:sz w:val="24"/>
          <w:highlight w:val="none"/>
        </w:rPr>
        <w:t>不得高于2000</w:t>
      </w:r>
      <w:r>
        <w:rPr>
          <w:rFonts w:ascii="宋体" w:hAnsi="宋体" w:eastAsia="宋体" w:cs="Times New Roman"/>
          <w:b/>
          <w:color w:val="auto"/>
          <w:sz w:val="24"/>
          <w:highlight w:val="none"/>
        </w:rPr>
        <w:t>元</w:t>
      </w:r>
      <w:r>
        <w:rPr>
          <w:rFonts w:hint="eastAsia" w:ascii="宋体" w:hAnsi="宋体" w:eastAsia="宋体" w:cs="Times New Roman"/>
          <w:b/>
          <w:color w:val="auto"/>
          <w:sz w:val="24"/>
          <w:highlight w:val="none"/>
        </w:rPr>
        <w:t>人民币</w:t>
      </w:r>
      <w:r>
        <w:rPr>
          <w:rFonts w:hint="eastAsia" w:ascii="宋体" w:hAnsi="宋体" w:eastAsia="宋体" w:cs="Times New Roman"/>
          <w:b/>
          <w:color w:val="auto"/>
          <w:sz w:val="24"/>
          <w:highlight w:val="none"/>
          <w:lang w:eastAsia="zh-CN"/>
        </w:rPr>
        <w:t>。招标人与中标人签订总合同，各合资公司签订分合同，</w:t>
      </w:r>
      <w:r>
        <w:rPr>
          <w:rFonts w:hint="eastAsia" w:ascii="宋体" w:hAnsi="宋体" w:eastAsia="宋体" w:cs="Times New Roman"/>
          <w:b/>
          <w:color w:val="auto"/>
          <w:sz w:val="24"/>
          <w:highlight w:val="none"/>
          <w:lang w:val="en-US" w:eastAsia="zh-CN"/>
        </w:rPr>
        <w:t>资金支付由招标人根据各合资公司实际情况合理安排支付</w:t>
      </w:r>
      <w:r>
        <w:rPr>
          <w:rFonts w:hint="eastAsia" w:ascii="宋体" w:hAnsi="宋体" w:eastAsia="宋体" w:cs="Times New Roman"/>
          <w:b/>
          <w:color w:val="auto"/>
          <w:sz w:val="24"/>
          <w:highlight w:val="none"/>
          <w:lang w:eastAsia="zh-CN"/>
        </w:rPr>
        <w:t>。各合资公司</w:t>
      </w:r>
      <w:r>
        <w:rPr>
          <w:rFonts w:hint="eastAsia" w:ascii="宋体" w:hAnsi="宋体" w:eastAsia="宋体" w:cs="Times New Roman"/>
          <w:b/>
          <w:color w:val="auto"/>
          <w:sz w:val="24"/>
          <w:highlight w:val="none"/>
          <w:lang w:val="en-US" w:eastAsia="zh-CN"/>
        </w:rPr>
        <w:t>合同签订前中标人需提供各企业基地详细的清单，按清单据实结算且项目总价不超过：“1492亩（具体地块面积以第三方实际测绘亩数为准）*中标人的投标报价”。投标单位的投标报价超出平均亩单价的，按无效投标处理。</w:t>
      </w:r>
    </w:p>
    <w:p w14:paraId="256F354A">
      <w:pPr>
        <w:spacing w:line="360" w:lineRule="auto"/>
        <w:ind w:firstLine="482" w:firstLineChars="200"/>
        <w:jc w:val="left"/>
        <w:rPr>
          <w:rFonts w:ascii="宋体" w:hAnsi="宋体" w:eastAsia="宋体" w:cs="Times New Roman"/>
          <w:b/>
          <w:color w:val="auto"/>
          <w:sz w:val="24"/>
          <w:highlight w:val="none"/>
        </w:rPr>
      </w:pPr>
      <w:r>
        <w:rPr>
          <w:rFonts w:hint="eastAsia" w:ascii="宋体" w:hAnsi="宋体" w:eastAsia="宋体" w:cs="Times New Roman"/>
          <w:b/>
          <w:color w:val="auto"/>
          <w:sz w:val="24"/>
          <w:highlight w:val="none"/>
        </w:rPr>
        <w:t>投标人必须按照招标需求内容、细化后的图纸内容在报价中充分考虑所有可能发生的费用，否则</w:t>
      </w:r>
      <w:r>
        <w:rPr>
          <w:rFonts w:hint="eastAsia" w:ascii="宋体" w:hAnsi="宋体" w:eastAsia="宋体" w:cs="Times New Roman"/>
          <w:b/>
          <w:color w:val="auto"/>
          <w:sz w:val="24"/>
          <w:highlight w:val="none"/>
          <w:lang w:eastAsia="zh-CN"/>
        </w:rPr>
        <w:t>招标人</w:t>
      </w:r>
      <w:r>
        <w:rPr>
          <w:rFonts w:hint="eastAsia" w:ascii="宋体" w:hAnsi="宋体" w:eastAsia="宋体" w:cs="Times New Roman"/>
          <w:b/>
          <w:color w:val="auto"/>
          <w:sz w:val="24"/>
          <w:highlight w:val="none"/>
        </w:rPr>
        <w:t>将视报价总价中已包括所有费用。</w:t>
      </w:r>
    </w:p>
    <w:p w14:paraId="7400E947">
      <w:pPr>
        <w:spacing w:line="360" w:lineRule="auto"/>
        <w:ind w:firstLine="482" w:firstLineChars="200"/>
        <w:jc w:val="left"/>
        <w:rPr>
          <w:rFonts w:hint="eastAsia" w:ascii="宋体" w:hAnsi="宋体" w:eastAsia="宋体" w:cs="Times New Roman"/>
          <w:b/>
          <w:color w:val="auto"/>
          <w:sz w:val="24"/>
          <w:highlight w:val="none"/>
        </w:rPr>
      </w:pPr>
      <w:r>
        <w:rPr>
          <w:rFonts w:hint="eastAsia" w:ascii="宋体" w:hAnsi="宋体" w:eastAsia="宋体" w:cs="Times New Roman"/>
          <w:b/>
          <w:color w:val="auto"/>
          <w:sz w:val="24"/>
          <w:highlight w:val="none"/>
        </w:rPr>
        <w:t>本项目投标报价应按照工程量、结合市场情况及企业自身实力进行报价，报价包含完成本项目的设备及备品、备件和专用工具费用、税金、包装及运输、保险、检测验收、调试及交付使用后维保等工作所发生的费用及投标人认为完成本采购项目规定内容所需发生的其它费用，凡未列入的，将被视为均已包含在投标总报价中。</w:t>
      </w:r>
    </w:p>
    <w:p w14:paraId="1FAF4EA9">
      <w:pPr>
        <w:spacing w:line="360" w:lineRule="auto"/>
        <w:ind w:firstLine="480" w:firstLineChars="200"/>
        <w:jc w:val="left"/>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3、项目建设要求</w:t>
      </w:r>
    </w:p>
    <w:p w14:paraId="437F13B5">
      <w:pPr>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本项目整体要求是安全、适用、满足实际使用功能，同时兼备科技先进性。设计符合国家有关设计规范、标准及规程。</w:t>
      </w:r>
    </w:p>
    <w:p w14:paraId="1FD02F11">
      <w:pPr>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坚持从实际出发，合理确定设计标准，对生产工艺，主要设备和主体工程做到先进、适用、可靠。</w:t>
      </w:r>
    </w:p>
    <w:p w14:paraId="39FD4D2D">
      <w:pPr>
        <w:spacing w:line="360" w:lineRule="auto"/>
        <w:ind w:firstLine="480" w:firstLineChars="200"/>
        <w:jc w:val="left"/>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本项目必须按照工程设计图纸和施工技术标准施工，安装质量符合各项技术标准和国家、行业标准。</w:t>
      </w:r>
    </w:p>
    <w:p w14:paraId="5951261B">
      <w:pPr>
        <w:spacing w:line="360" w:lineRule="auto"/>
        <w:ind w:firstLine="480" w:firstLineChars="200"/>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质量要求：达到合格等级。</w:t>
      </w:r>
    </w:p>
    <w:p w14:paraId="75144F19">
      <w:pPr>
        <w:numPr>
          <w:ilvl w:val="0"/>
          <w:numId w:val="1"/>
        </w:numPr>
        <w:spacing w:line="360" w:lineRule="auto"/>
        <w:ind w:firstLine="480" w:firstLineChars="200"/>
        <w:jc w:val="left"/>
        <w:rPr>
          <w:rFonts w:hint="default" w:ascii="宋体" w:hAnsi="宋体" w:eastAsia="宋体" w:cs="Times New Roman"/>
          <w:b/>
          <w:color w:val="auto"/>
          <w:sz w:val="24"/>
          <w:highlight w:val="none"/>
          <w:lang w:val="en-US" w:eastAsia="zh-CN"/>
        </w:rPr>
      </w:pPr>
      <w:r>
        <w:rPr>
          <w:rFonts w:hint="eastAsia" w:ascii="宋体" w:hAnsi="宋体" w:eastAsia="宋体" w:cs="Times New Roman"/>
          <w:color w:val="auto"/>
          <w:sz w:val="24"/>
          <w:highlight w:val="none"/>
        </w:rPr>
        <w:t>项目概况</w:t>
      </w:r>
      <w:r>
        <w:rPr>
          <w:rFonts w:hint="eastAsia" w:ascii="宋体" w:hAnsi="宋体" w:eastAsia="宋体" w:cs="Times New Roman"/>
          <w:color w:val="auto"/>
          <w:sz w:val="24"/>
          <w:highlight w:val="none"/>
          <w:lang w:eastAsia="zh-CN"/>
        </w:rPr>
        <w:t>：</w:t>
      </w:r>
      <w:r>
        <w:rPr>
          <w:rFonts w:hint="eastAsia" w:ascii="宋体" w:hAnsi="宋体" w:eastAsia="宋体" w:cs="Times New Roman"/>
          <w:b/>
          <w:color w:val="auto"/>
          <w:sz w:val="24"/>
          <w:highlight w:val="none"/>
          <w:lang w:val="en-US" w:eastAsia="zh-CN"/>
        </w:rPr>
        <w:t>怀宁县19个乡镇（除石牌镇外）的蓝莓基地，</w:t>
      </w:r>
      <w:r>
        <w:rPr>
          <w:rFonts w:hint="eastAsia" w:ascii="宋体" w:hAnsi="宋体" w:eastAsia="宋体" w:cs="宋体"/>
          <w:b/>
          <w:bCs/>
          <w:i w:val="0"/>
          <w:iCs w:val="0"/>
          <w:color w:val="auto"/>
          <w:kern w:val="0"/>
          <w:sz w:val="22"/>
          <w:szCs w:val="22"/>
          <w:highlight w:val="none"/>
          <w:u w:val="none"/>
          <w:lang w:val="en-US" w:eastAsia="zh-CN" w:bidi="ar"/>
        </w:rPr>
        <w:t>具体地块以乡镇实际交付情况为准，具体地块面积以第三方实际测绘亩数为准。</w:t>
      </w:r>
    </w:p>
    <w:tbl>
      <w:tblPr>
        <w:tblStyle w:val="4"/>
        <w:tblW w:w="5274" w:type="pct"/>
        <w:tblInd w:w="-26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1"/>
        <w:gridCol w:w="914"/>
        <w:gridCol w:w="3843"/>
        <w:gridCol w:w="1442"/>
        <w:gridCol w:w="782"/>
        <w:gridCol w:w="1348"/>
      </w:tblGrid>
      <w:tr w14:paraId="15E3F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02" w:hRule="atLeast"/>
        </w:trPr>
        <w:tc>
          <w:tcPr>
            <w:tcW w:w="3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43FAD">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序号</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6EB1E">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乡镇</w:t>
            </w:r>
          </w:p>
        </w:tc>
        <w:tc>
          <w:tcPr>
            <w:tcW w:w="21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F542A">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公司</w:t>
            </w:r>
          </w:p>
        </w:tc>
        <w:tc>
          <w:tcPr>
            <w:tcW w:w="8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D71F8">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基地</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EF1B74">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亩数（约）</w:t>
            </w:r>
          </w:p>
        </w:tc>
        <w:tc>
          <w:tcPr>
            <w:tcW w:w="7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DAB5F7">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备注</w:t>
            </w:r>
          </w:p>
        </w:tc>
      </w:tr>
      <w:tr w14:paraId="0BB61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9" w:hRule="atLeast"/>
        </w:trPr>
        <w:tc>
          <w:tcPr>
            <w:tcW w:w="3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53D8A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DC6D6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马庙镇</w:t>
            </w:r>
          </w:p>
        </w:tc>
        <w:tc>
          <w:tcPr>
            <w:tcW w:w="21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AAFFE">
            <w:pPr>
              <w:keepNext w:val="0"/>
              <w:keepLines w:val="0"/>
              <w:widowControl/>
              <w:suppressLineNumbers w:val="0"/>
              <w:jc w:val="center"/>
              <w:textAlignment w:val="center"/>
              <w:rPr>
                <w:rFonts w:hint="default" w:ascii="宋体" w:hAnsi="宋体" w:eastAsia="宋体" w:cs="宋体"/>
                <w:i w:val="0"/>
                <w:iCs w:val="0"/>
                <w:color w:val="auto"/>
                <w:sz w:val="24"/>
                <w:szCs w:val="24"/>
                <w:highlight w:val="none"/>
                <w:u w:val="none"/>
                <w:lang w:val="en-US"/>
              </w:rPr>
            </w:pPr>
            <w:r>
              <w:rPr>
                <w:rFonts w:hint="eastAsia" w:ascii="宋体" w:hAnsi="宋体" w:cs="宋体"/>
                <w:i w:val="0"/>
                <w:iCs w:val="0"/>
                <w:color w:val="auto"/>
                <w:kern w:val="0"/>
                <w:sz w:val="24"/>
                <w:szCs w:val="24"/>
                <w:highlight w:val="none"/>
                <w:u w:val="none"/>
                <w:lang w:val="en-US" w:eastAsia="zh-CN" w:bidi="ar"/>
              </w:rPr>
              <w:t>怀宁县</w:t>
            </w:r>
            <w:r>
              <w:rPr>
                <w:rFonts w:hint="eastAsia" w:ascii="宋体" w:hAnsi="宋体" w:eastAsia="宋体" w:cs="宋体"/>
                <w:i w:val="0"/>
                <w:iCs w:val="0"/>
                <w:color w:val="auto"/>
                <w:kern w:val="0"/>
                <w:sz w:val="24"/>
                <w:szCs w:val="24"/>
                <w:highlight w:val="none"/>
                <w:u w:val="none"/>
                <w:lang w:val="en-US" w:eastAsia="zh-CN" w:bidi="ar"/>
              </w:rPr>
              <w:t>马兴</w:t>
            </w:r>
            <w:r>
              <w:rPr>
                <w:rFonts w:hint="eastAsia" w:ascii="宋体" w:hAnsi="宋体" w:cs="宋体"/>
                <w:i w:val="0"/>
                <w:iCs w:val="0"/>
                <w:color w:val="auto"/>
                <w:kern w:val="0"/>
                <w:sz w:val="24"/>
                <w:szCs w:val="24"/>
                <w:highlight w:val="none"/>
                <w:u w:val="none"/>
                <w:lang w:val="en-US" w:eastAsia="zh-CN" w:bidi="ar"/>
              </w:rPr>
              <w:t>乡村生态发展有限公司</w:t>
            </w:r>
          </w:p>
        </w:tc>
        <w:tc>
          <w:tcPr>
            <w:tcW w:w="80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A91161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新安村</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EC0911">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80</w:t>
            </w:r>
          </w:p>
        </w:tc>
        <w:tc>
          <w:tcPr>
            <w:tcW w:w="74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C03A2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具体地块以乡镇实际交付情况为准，具体地块面积以第三方实际测绘亩数为准</w:t>
            </w:r>
          </w:p>
        </w:tc>
      </w:tr>
      <w:tr w14:paraId="1CA4B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3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A554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2</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7046DE">
            <w:pPr>
              <w:jc w:val="center"/>
              <w:rPr>
                <w:rFonts w:hint="eastAsia" w:ascii="宋体" w:hAnsi="宋体" w:eastAsia="宋体" w:cs="宋体"/>
                <w:i w:val="0"/>
                <w:iCs w:val="0"/>
                <w:color w:val="auto"/>
                <w:sz w:val="24"/>
                <w:szCs w:val="24"/>
                <w:highlight w:val="none"/>
                <w:u w:val="none"/>
              </w:rPr>
            </w:pPr>
          </w:p>
        </w:tc>
        <w:tc>
          <w:tcPr>
            <w:tcW w:w="21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4FEC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怀宁县</w:t>
            </w:r>
            <w:r>
              <w:rPr>
                <w:rFonts w:hint="eastAsia" w:ascii="宋体" w:hAnsi="宋体" w:eastAsia="宋体" w:cs="宋体"/>
                <w:i w:val="0"/>
                <w:iCs w:val="0"/>
                <w:color w:val="auto"/>
                <w:kern w:val="0"/>
                <w:sz w:val="24"/>
                <w:szCs w:val="24"/>
                <w:highlight w:val="none"/>
                <w:u w:val="none"/>
                <w:lang w:val="en-US" w:eastAsia="zh-CN" w:bidi="ar"/>
              </w:rPr>
              <w:t>马枫</w:t>
            </w:r>
            <w:r>
              <w:rPr>
                <w:rFonts w:hint="eastAsia" w:ascii="宋体" w:hAnsi="宋体" w:cs="宋体"/>
                <w:i w:val="0"/>
                <w:iCs w:val="0"/>
                <w:color w:val="auto"/>
                <w:kern w:val="0"/>
                <w:sz w:val="24"/>
                <w:szCs w:val="24"/>
                <w:highlight w:val="none"/>
                <w:u w:val="none"/>
                <w:lang w:val="en-US" w:eastAsia="zh-CN" w:bidi="ar"/>
              </w:rPr>
              <w:t>乡村生态发展有限公司</w:t>
            </w:r>
          </w:p>
        </w:tc>
        <w:tc>
          <w:tcPr>
            <w:tcW w:w="80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9BF1AF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枫林-曹坦-严岭村</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C895C">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120</w:t>
            </w:r>
          </w:p>
        </w:tc>
        <w:tc>
          <w:tcPr>
            <w:tcW w:w="7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C7054">
            <w:pPr>
              <w:jc w:val="center"/>
              <w:rPr>
                <w:rFonts w:hint="eastAsia" w:ascii="宋体" w:hAnsi="宋体" w:eastAsia="宋体" w:cs="宋体"/>
                <w:i w:val="0"/>
                <w:iCs w:val="0"/>
                <w:color w:val="auto"/>
                <w:sz w:val="24"/>
                <w:szCs w:val="24"/>
                <w:highlight w:val="none"/>
                <w:u w:val="none"/>
              </w:rPr>
            </w:pPr>
          </w:p>
        </w:tc>
      </w:tr>
      <w:tr w14:paraId="2DAB9C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3" w:hRule="atLeast"/>
        </w:trPr>
        <w:tc>
          <w:tcPr>
            <w:tcW w:w="3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F401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3</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09442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金拱镇</w:t>
            </w:r>
          </w:p>
        </w:tc>
        <w:tc>
          <w:tcPr>
            <w:tcW w:w="21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2296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怀宁县</w:t>
            </w:r>
            <w:r>
              <w:rPr>
                <w:rFonts w:hint="eastAsia" w:ascii="宋体" w:hAnsi="宋体" w:eastAsia="宋体" w:cs="宋体"/>
                <w:i w:val="0"/>
                <w:iCs w:val="0"/>
                <w:color w:val="auto"/>
                <w:kern w:val="0"/>
                <w:sz w:val="24"/>
                <w:szCs w:val="24"/>
                <w:highlight w:val="none"/>
                <w:u w:val="none"/>
                <w:lang w:val="en-US" w:eastAsia="zh-CN" w:bidi="ar"/>
              </w:rPr>
              <w:t>金马</w:t>
            </w:r>
            <w:r>
              <w:rPr>
                <w:rFonts w:hint="eastAsia" w:ascii="宋体" w:hAnsi="宋体" w:cs="宋体"/>
                <w:i w:val="0"/>
                <w:iCs w:val="0"/>
                <w:color w:val="auto"/>
                <w:kern w:val="0"/>
                <w:sz w:val="24"/>
                <w:szCs w:val="24"/>
                <w:highlight w:val="none"/>
                <w:u w:val="none"/>
                <w:lang w:val="en-US" w:eastAsia="zh-CN" w:bidi="ar"/>
              </w:rPr>
              <w:t>乡村生态发展有限公司</w:t>
            </w:r>
          </w:p>
        </w:tc>
        <w:tc>
          <w:tcPr>
            <w:tcW w:w="80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3D0965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里仁村</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3DBD3F">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20</w:t>
            </w:r>
          </w:p>
        </w:tc>
        <w:tc>
          <w:tcPr>
            <w:tcW w:w="7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9B13A1">
            <w:pPr>
              <w:jc w:val="center"/>
              <w:rPr>
                <w:rFonts w:hint="eastAsia" w:ascii="宋体" w:hAnsi="宋体" w:eastAsia="宋体" w:cs="宋体"/>
                <w:i w:val="0"/>
                <w:iCs w:val="0"/>
                <w:color w:val="auto"/>
                <w:sz w:val="24"/>
                <w:szCs w:val="24"/>
                <w:highlight w:val="none"/>
                <w:u w:val="none"/>
              </w:rPr>
            </w:pPr>
          </w:p>
        </w:tc>
      </w:tr>
      <w:tr w14:paraId="67A2F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3" w:hRule="atLeast"/>
        </w:trPr>
        <w:tc>
          <w:tcPr>
            <w:tcW w:w="3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E11E3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4</w:t>
            </w:r>
          </w:p>
        </w:tc>
        <w:tc>
          <w:tcPr>
            <w:tcW w:w="508" w:type="pct"/>
            <w:tcBorders>
              <w:top w:val="nil"/>
              <w:left w:val="single" w:color="000000" w:sz="4" w:space="0"/>
              <w:bottom w:val="single" w:color="000000" w:sz="4" w:space="0"/>
              <w:right w:val="single" w:color="000000" w:sz="4" w:space="0"/>
            </w:tcBorders>
            <w:shd w:val="clear" w:color="auto" w:fill="auto"/>
            <w:noWrap/>
            <w:vAlign w:val="center"/>
          </w:tcPr>
          <w:p w14:paraId="219EF23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公岭镇</w:t>
            </w:r>
          </w:p>
        </w:tc>
        <w:tc>
          <w:tcPr>
            <w:tcW w:w="2137" w:type="pct"/>
            <w:tcBorders>
              <w:top w:val="nil"/>
              <w:left w:val="single" w:color="000000" w:sz="4" w:space="0"/>
              <w:bottom w:val="single" w:color="000000" w:sz="4" w:space="0"/>
              <w:right w:val="single" w:color="000000" w:sz="4" w:space="0"/>
            </w:tcBorders>
            <w:shd w:val="clear" w:color="auto" w:fill="auto"/>
            <w:noWrap/>
            <w:vAlign w:val="center"/>
          </w:tcPr>
          <w:p w14:paraId="1A62FB2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怀宁县</w:t>
            </w:r>
            <w:r>
              <w:rPr>
                <w:rFonts w:hint="eastAsia" w:ascii="宋体" w:hAnsi="宋体" w:eastAsia="宋体" w:cs="宋体"/>
                <w:i w:val="0"/>
                <w:iCs w:val="0"/>
                <w:color w:val="auto"/>
                <w:kern w:val="0"/>
                <w:sz w:val="24"/>
                <w:szCs w:val="24"/>
                <w:highlight w:val="none"/>
                <w:u w:val="none"/>
                <w:lang w:val="en-US" w:eastAsia="zh-CN" w:bidi="ar"/>
              </w:rPr>
              <w:t>丰安</w:t>
            </w:r>
            <w:r>
              <w:rPr>
                <w:rFonts w:hint="eastAsia" w:ascii="宋体" w:hAnsi="宋体" w:cs="宋体"/>
                <w:i w:val="0"/>
                <w:iCs w:val="0"/>
                <w:color w:val="auto"/>
                <w:kern w:val="0"/>
                <w:sz w:val="24"/>
                <w:szCs w:val="24"/>
                <w:highlight w:val="none"/>
                <w:u w:val="none"/>
                <w:lang w:val="en-US" w:eastAsia="zh-CN" w:bidi="ar"/>
              </w:rPr>
              <w:t>乡村生态发展有限公司</w:t>
            </w:r>
          </w:p>
        </w:tc>
        <w:tc>
          <w:tcPr>
            <w:tcW w:w="80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2690C18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铁炉村</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267135">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100</w:t>
            </w:r>
          </w:p>
        </w:tc>
        <w:tc>
          <w:tcPr>
            <w:tcW w:w="7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B3E5E">
            <w:pPr>
              <w:jc w:val="center"/>
              <w:rPr>
                <w:rFonts w:hint="eastAsia" w:ascii="宋体" w:hAnsi="宋体" w:eastAsia="宋体" w:cs="宋体"/>
                <w:i w:val="0"/>
                <w:iCs w:val="0"/>
                <w:color w:val="auto"/>
                <w:sz w:val="24"/>
                <w:szCs w:val="24"/>
                <w:highlight w:val="none"/>
                <w:u w:val="none"/>
              </w:rPr>
            </w:pPr>
          </w:p>
        </w:tc>
      </w:tr>
      <w:tr w14:paraId="12014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3439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5</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6E1170">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秀山乡</w:t>
            </w:r>
          </w:p>
        </w:tc>
        <w:tc>
          <w:tcPr>
            <w:tcW w:w="213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8F27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怀宁县</w:t>
            </w:r>
            <w:r>
              <w:rPr>
                <w:rFonts w:hint="eastAsia" w:ascii="宋体" w:hAnsi="宋体" w:eastAsia="宋体" w:cs="宋体"/>
                <w:i w:val="0"/>
                <w:iCs w:val="0"/>
                <w:color w:val="auto"/>
                <w:kern w:val="0"/>
                <w:sz w:val="24"/>
                <w:szCs w:val="24"/>
                <w:highlight w:val="none"/>
                <w:u w:val="none"/>
                <w:lang w:val="en-US" w:eastAsia="zh-CN" w:bidi="ar"/>
              </w:rPr>
              <w:t>众发</w:t>
            </w:r>
            <w:r>
              <w:rPr>
                <w:rFonts w:hint="eastAsia" w:ascii="宋体" w:hAnsi="宋体" w:cs="宋体"/>
                <w:i w:val="0"/>
                <w:iCs w:val="0"/>
                <w:color w:val="auto"/>
                <w:kern w:val="0"/>
                <w:sz w:val="24"/>
                <w:szCs w:val="24"/>
                <w:highlight w:val="none"/>
                <w:u w:val="none"/>
                <w:lang w:val="en-US" w:eastAsia="zh-CN" w:bidi="ar"/>
              </w:rPr>
              <w:t>乡村生态发展有限公司</w:t>
            </w:r>
          </w:p>
        </w:tc>
        <w:tc>
          <w:tcPr>
            <w:tcW w:w="80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70B937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独秀村</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72B065">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40</w:t>
            </w:r>
          </w:p>
        </w:tc>
        <w:tc>
          <w:tcPr>
            <w:tcW w:w="7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6CEEA">
            <w:pPr>
              <w:jc w:val="center"/>
              <w:rPr>
                <w:rFonts w:hint="eastAsia" w:ascii="宋体" w:hAnsi="宋体" w:eastAsia="宋体" w:cs="宋体"/>
                <w:i w:val="0"/>
                <w:iCs w:val="0"/>
                <w:color w:val="auto"/>
                <w:sz w:val="24"/>
                <w:szCs w:val="24"/>
                <w:highlight w:val="none"/>
                <w:u w:val="none"/>
              </w:rPr>
            </w:pPr>
          </w:p>
        </w:tc>
      </w:tr>
      <w:tr w14:paraId="52A46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1DF3BB">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6</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72102">
            <w:pPr>
              <w:jc w:val="center"/>
              <w:rPr>
                <w:rFonts w:hint="eastAsia" w:ascii="宋体" w:hAnsi="宋体" w:eastAsia="宋体" w:cs="宋体"/>
                <w:i w:val="0"/>
                <w:iCs w:val="0"/>
                <w:color w:val="auto"/>
                <w:sz w:val="24"/>
                <w:szCs w:val="24"/>
                <w:highlight w:val="none"/>
                <w:u w:val="none"/>
              </w:rPr>
            </w:pPr>
          </w:p>
        </w:tc>
        <w:tc>
          <w:tcPr>
            <w:tcW w:w="213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2AFDDB">
            <w:pPr>
              <w:jc w:val="center"/>
              <w:rPr>
                <w:rFonts w:hint="eastAsia" w:ascii="宋体" w:hAnsi="宋体" w:eastAsia="宋体" w:cs="宋体"/>
                <w:i w:val="0"/>
                <w:iCs w:val="0"/>
                <w:color w:val="auto"/>
                <w:sz w:val="24"/>
                <w:szCs w:val="24"/>
                <w:highlight w:val="none"/>
                <w:u w:val="none"/>
              </w:rPr>
            </w:pPr>
          </w:p>
        </w:tc>
        <w:tc>
          <w:tcPr>
            <w:tcW w:w="80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5313A9A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章岭村</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555A9">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21</w:t>
            </w:r>
          </w:p>
        </w:tc>
        <w:tc>
          <w:tcPr>
            <w:tcW w:w="7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B494FA">
            <w:pPr>
              <w:jc w:val="center"/>
              <w:rPr>
                <w:rFonts w:hint="eastAsia" w:ascii="宋体" w:hAnsi="宋体" w:eastAsia="宋体" w:cs="宋体"/>
                <w:i w:val="0"/>
                <w:iCs w:val="0"/>
                <w:color w:val="auto"/>
                <w:sz w:val="24"/>
                <w:szCs w:val="24"/>
                <w:highlight w:val="none"/>
                <w:u w:val="none"/>
              </w:rPr>
            </w:pPr>
          </w:p>
        </w:tc>
      </w:tr>
      <w:tr w14:paraId="29C99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3B59D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7</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00585">
            <w:pPr>
              <w:jc w:val="center"/>
              <w:rPr>
                <w:rFonts w:hint="eastAsia" w:ascii="宋体" w:hAnsi="宋体" w:eastAsia="宋体" w:cs="宋体"/>
                <w:i w:val="0"/>
                <w:iCs w:val="0"/>
                <w:color w:val="auto"/>
                <w:sz w:val="24"/>
                <w:szCs w:val="24"/>
                <w:highlight w:val="none"/>
                <w:u w:val="none"/>
              </w:rPr>
            </w:pPr>
          </w:p>
        </w:tc>
        <w:tc>
          <w:tcPr>
            <w:tcW w:w="213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E3D1CC">
            <w:pPr>
              <w:keepNext w:val="0"/>
              <w:keepLines w:val="0"/>
              <w:widowControl/>
              <w:suppressLineNumbers w:val="0"/>
              <w:jc w:val="center"/>
              <w:textAlignment w:val="center"/>
              <w:rPr>
                <w:rFonts w:hint="default" w:ascii="宋体" w:hAnsi="宋体" w:eastAsia="宋体" w:cs="宋体"/>
                <w:i w:val="0"/>
                <w:iCs w:val="0"/>
                <w:color w:val="auto"/>
                <w:sz w:val="24"/>
                <w:szCs w:val="24"/>
                <w:highlight w:val="none"/>
                <w:u w:val="none"/>
                <w:lang w:val="en-US"/>
              </w:rPr>
            </w:pPr>
            <w:r>
              <w:rPr>
                <w:rFonts w:hint="eastAsia" w:ascii="宋体" w:hAnsi="宋体" w:cs="宋体"/>
                <w:i w:val="0"/>
                <w:iCs w:val="0"/>
                <w:color w:val="auto"/>
                <w:kern w:val="0"/>
                <w:sz w:val="24"/>
                <w:szCs w:val="24"/>
                <w:highlight w:val="none"/>
                <w:u w:val="none"/>
                <w:lang w:val="en-US" w:eastAsia="zh-CN" w:bidi="ar"/>
              </w:rPr>
              <w:t>怀宁县</w:t>
            </w:r>
            <w:r>
              <w:rPr>
                <w:rFonts w:hint="eastAsia" w:ascii="宋体" w:hAnsi="宋体" w:eastAsia="宋体" w:cs="宋体"/>
                <w:i w:val="0"/>
                <w:iCs w:val="0"/>
                <w:color w:val="auto"/>
                <w:kern w:val="0"/>
                <w:sz w:val="24"/>
                <w:szCs w:val="24"/>
                <w:highlight w:val="none"/>
                <w:u w:val="none"/>
                <w:lang w:val="en-US" w:eastAsia="zh-CN" w:bidi="ar"/>
              </w:rPr>
              <w:t>白洋湖</w:t>
            </w:r>
            <w:r>
              <w:rPr>
                <w:rFonts w:hint="eastAsia" w:ascii="宋体" w:hAnsi="宋体" w:cs="宋体"/>
                <w:i w:val="0"/>
                <w:iCs w:val="0"/>
                <w:color w:val="auto"/>
                <w:kern w:val="0"/>
                <w:sz w:val="24"/>
                <w:szCs w:val="24"/>
                <w:highlight w:val="none"/>
                <w:u w:val="none"/>
                <w:lang w:val="en-US" w:eastAsia="zh-CN" w:bidi="ar"/>
              </w:rPr>
              <w:t>绿色农业有限公司</w:t>
            </w:r>
          </w:p>
        </w:tc>
        <w:tc>
          <w:tcPr>
            <w:tcW w:w="80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A998C8C">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双龙村</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5DF7C">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70</w:t>
            </w:r>
          </w:p>
        </w:tc>
        <w:tc>
          <w:tcPr>
            <w:tcW w:w="7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C44980">
            <w:pPr>
              <w:jc w:val="center"/>
              <w:rPr>
                <w:rFonts w:hint="eastAsia" w:ascii="宋体" w:hAnsi="宋体" w:eastAsia="宋体" w:cs="宋体"/>
                <w:i w:val="0"/>
                <w:iCs w:val="0"/>
                <w:color w:val="auto"/>
                <w:sz w:val="24"/>
                <w:szCs w:val="24"/>
                <w:highlight w:val="none"/>
                <w:u w:val="none"/>
              </w:rPr>
            </w:pPr>
          </w:p>
        </w:tc>
      </w:tr>
      <w:tr w14:paraId="71B73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C5F3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8</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56CEB">
            <w:pPr>
              <w:jc w:val="center"/>
              <w:rPr>
                <w:rFonts w:hint="eastAsia" w:ascii="宋体" w:hAnsi="宋体" w:eastAsia="宋体" w:cs="宋体"/>
                <w:i w:val="0"/>
                <w:iCs w:val="0"/>
                <w:color w:val="auto"/>
                <w:sz w:val="24"/>
                <w:szCs w:val="24"/>
                <w:highlight w:val="none"/>
                <w:u w:val="none"/>
              </w:rPr>
            </w:pPr>
          </w:p>
        </w:tc>
        <w:tc>
          <w:tcPr>
            <w:tcW w:w="213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715391">
            <w:pPr>
              <w:jc w:val="center"/>
              <w:rPr>
                <w:rFonts w:hint="eastAsia" w:ascii="宋体" w:hAnsi="宋体" w:eastAsia="宋体" w:cs="宋体"/>
                <w:i w:val="0"/>
                <w:iCs w:val="0"/>
                <w:color w:val="auto"/>
                <w:sz w:val="24"/>
                <w:szCs w:val="24"/>
                <w:highlight w:val="none"/>
                <w:u w:val="none"/>
              </w:rPr>
            </w:pPr>
          </w:p>
        </w:tc>
        <w:tc>
          <w:tcPr>
            <w:tcW w:w="80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1AA033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章岭村</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CAFA3">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100</w:t>
            </w:r>
          </w:p>
        </w:tc>
        <w:tc>
          <w:tcPr>
            <w:tcW w:w="7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88A05">
            <w:pPr>
              <w:jc w:val="center"/>
              <w:rPr>
                <w:rFonts w:hint="eastAsia" w:ascii="宋体" w:hAnsi="宋体" w:eastAsia="宋体" w:cs="宋体"/>
                <w:i w:val="0"/>
                <w:iCs w:val="0"/>
                <w:color w:val="auto"/>
                <w:sz w:val="24"/>
                <w:szCs w:val="24"/>
                <w:highlight w:val="none"/>
                <w:u w:val="none"/>
              </w:rPr>
            </w:pPr>
          </w:p>
        </w:tc>
      </w:tr>
      <w:tr w14:paraId="00399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F1B3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9</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C9C9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三桥镇</w:t>
            </w:r>
          </w:p>
        </w:tc>
        <w:tc>
          <w:tcPr>
            <w:tcW w:w="21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63E86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怀宁县</w:t>
            </w:r>
            <w:r>
              <w:rPr>
                <w:rFonts w:hint="eastAsia" w:ascii="宋体" w:hAnsi="宋体" w:eastAsia="宋体" w:cs="宋体"/>
                <w:i w:val="0"/>
                <w:iCs w:val="0"/>
                <w:color w:val="auto"/>
                <w:kern w:val="0"/>
                <w:sz w:val="24"/>
                <w:szCs w:val="24"/>
                <w:highlight w:val="none"/>
                <w:u w:val="none"/>
                <w:lang w:val="en-US" w:eastAsia="zh-CN" w:bidi="ar"/>
              </w:rPr>
              <w:t>龙岭</w:t>
            </w:r>
            <w:r>
              <w:rPr>
                <w:rFonts w:hint="eastAsia" w:ascii="宋体" w:hAnsi="宋体" w:cs="宋体"/>
                <w:i w:val="0"/>
                <w:iCs w:val="0"/>
                <w:color w:val="auto"/>
                <w:kern w:val="0"/>
                <w:sz w:val="24"/>
                <w:szCs w:val="24"/>
                <w:highlight w:val="none"/>
                <w:u w:val="none"/>
                <w:lang w:val="en-US" w:eastAsia="zh-CN" w:bidi="ar"/>
              </w:rPr>
              <w:t>乡村生态发展有限公司</w:t>
            </w:r>
          </w:p>
        </w:tc>
        <w:tc>
          <w:tcPr>
            <w:tcW w:w="80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9403E1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社塘岭村</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307B7">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120</w:t>
            </w:r>
          </w:p>
        </w:tc>
        <w:tc>
          <w:tcPr>
            <w:tcW w:w="7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4F6DA2">
            <w:pPr>
              <w:jc w:val="center"/>
              <w:rPr>
                <w:rFonts w:hint="eastAsia" w:ascii="宋体" w:hAnsi="宋体" w:eastAsia="宋体" w:cs="宋体"/>
                <w:i w:val="0"/>
                <w:iCs w:val="0"/>
                <w:color w:val="auto"/>
                <w:sz w:val="24"/>
                <w:szCs w:val="24"/>
                <w:highlight w:val="none"/>
                <w:u w:val="none"/>
              </w:rPr>
            </w:pPr>
          </w:p>
        </w:tc>
      </w:tr>
      <w:tr w14:paraId="15538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A0658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10</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5F8FB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小市镇</w:t>
            </w:r>
          </w:p>
        </w:tc>
        <w:tc>
          <w:tcPr>
            <w:tcW w:w="2137"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798E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怀宁县</w:t>
            </w:r>
            <w:r>
              <w:rPr>
                <w:rFonts w:hint="eastAsia" w:ascii="宋体" w:hAnsi="宋体" w:eastAsia="宋体" w:cs="宋体"/>
                <w:i w:val="0"/>
                <w:iCs w:val="0"/>
                <w:color w:val="auto"/>
                <w:kern w:val="0"/>
                <w:sz w:val="24"/>
                <w:szCs w:val="24"/>
                <w:highlight w:val="none"/>
                <w:u w:val="none"/>
                <w:lang w:val="en-US" w:eastAsia="zh-CN" w:bidi="ar"/>
              </w:rPr>
              <w:t>安玉</w:t>
            </w:r>
            <w:r>
              <w:rPr>
                <w:rFonts w:hint="eastAsia" w:ascii="宋体" w:hAnsi="宋体" w:cs="宋体"/>
                <w:i w:val="0"/>
                <w:iCs w:val="0"/>
                <w:color w:val="auto"/>
                <w:kern w:val="0"/>
                <w:sz w:val="24"/>
                <w:szCs w:val="24"/>
                <w:highlight w:val="none"/>
                <w:u w:val="none"/>
                <w:lang w:val="en-US" w:eastAsia="zh-CN" w:bidi="ar"/>
              </w:rPr>
              <w:t>乡村生态发展有限公司</w:t>
            </w:r>
          </w:p>
        </w:tc>
        <w:tc>
          <w:tcPr>
            <w:tcW w:w="80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5D9A71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毛安村1</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D3C1D5">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68</w:t>
            </w:r>
          </w:p>
        </w:tc>
        <w:tc>
          <w:tcPr>
            <w:tcW w:w="7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370A0C">
            <w:pPr>
              <w:jc w:val="center"/>
              <w:rPr>
                <w:rFonts w:hint="eastAsia" w:ascii="宋体" w:hAnsi="宋体" w:eastAsia="宋体" w:cs="宋体"/>
                <w:i w:val="0"/>
                <w:iCs w:val="0"/>
                <w:color w:val="auto"/>
                <w:sz w:val="24"/>
                <w:szCs w:val="24"/>
                <w:highlight w:val="none"/>
                <w:u w:val="none"/>
              </w:rPr>
            </w:pPr>
          </w:p>
        </w:tc>
      </w:tr>
      <w:tr w14:paraId="21D8CA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ACB7F1">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11</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0FEC2">
            <w:pPr>
              <w:jc w:val="center"/>
              <w:rPr>
                <w:rFonts w:hint="eastAsia" w:ascii="宋体" w:hAnsi="宋体" w:eastAsia="宋体" w:cs="宋体"/>
                <w:i w:val="0"/>
                <w:iCs w:val="0"/>
                <w:color w:val="auto"/>
                <w:sz w:val="24"/>
                <w:szCs w:val="24"/>
                <w:highlight w:val="none"/>
                <w:u w:val="none"/>
              </w:rPr>
            </w:pPr>
          </w:p>
        </w:tc>
        <w:tc>
          <w:tcPr>
            <w:tcW w:w="2137"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A587C3">
            <w:pPr>
              <w:jc w:val="center"/>
              <w:rPr>
                <w:rFonts w:hint="eastAsia" w:ascii="宋体" w:hAnsi="宋体" w:eastAsia="宋体" w:cs="宋体"/>
                <w:i w:val="0"/>
                <w:iCs w:val="0"/>
                <w:color w:val="auto"/>
                <w:sz w:val="24"/>
                <w:szCs w:val="24"/>
                <w:highlight w:val="none"/>
                <w:u w:val="none"/>
              </w:rPr>
            </w:pPr>
          </w:p>
        </w:tc>
        <w:tc>
          <w:tcPr>
            <w:tcW w:w="80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5B7C2A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毛安村2</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FCB8E">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20</w:t>
            </w:r>
          </w:p>
        </w:tc>
        <w:tc>
          <w:tcPr>
            <w:tcW w:w="7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9B1EB1">
            <w:pPr>
              <w:jc w:val="center"/>
              <w:rPr>
                <w:rFonts w:hint="eastAsia" w:ascii="宋体" w:hAnsi="宋体" w:eastAsia="宋体" w:cs="宋体"/>
                <w:i w:val="0"/>
                <w:iCs w:val="0"/>
                <w:color w:val="auto"/>
                <w:sz w:val="24"/>
                <w:szCs w:val="24"/>
                <w:highlight w:val="none"/>
                <w:u w:val="none"/>
              </w:rPr>
            </w:pPr>
          </w:p>
        </w:tc>
      </w:tr>
      <w:tr w14:paraId="60907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51619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12</w:t>
            </w: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21A525">
            <w:pPr>
              <w:jc w:val="center"/>
              <w:rPr>
                <w:rFonts w:hint="eastAsia" w:ascii="宋体" w:hAnsi="宋体" w:eastAsia="宋体" w:cs="宋体"/>
                <w:i w:val="0"/>
                <w:iCs w:val="0"/>
                <w:color w:val="auto"/>
                <w:sz w:val="24"/>
                <w:szCs w:val="24"/>
                <w:highlight w:val="none"/>
                <w:u w:val="none"/>
              </w:rPr>
            </w:pPr>
          </w:p>
        </w:tc>
        <w:tc>
          <w:tcPr>
            <w:tcW w:w="21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918997">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怀宁县</w:t>
            </w:r>
            <w:r>
              <w:rPr>
                <w:rFonts w:hint="eastAsia" w:ascii="宋体" w:hAnsi="宋体" w:eastAsia="宋体" w:cs="宋体"/>
                <w:i w:val="0"/>
                <w:iCs w:val="0"/>
                <w:color w:val="auto"/>
                <w:kern w:val="0"/>
                <w:sz w:val="24"/>
                <w:szCs w:val="24"/>
                <w:highlight w:val="none"/>
                <w:u w:val="none"/>
                <w:lang w:val="en-US" w:eastAsia="zh-CN" w:bidi="ar"/>
              </w:rPr>
              <w:t>四松</w:t>
            </w:r>
            <w:r>
              <w:rPr>
                <w:rFonts w:hint="eastAsia" w:ascii="宋体" w:hAnsi="宋体" w:cs="宋体"/>
                <w:i w:val="0"/>
                <w:iCs w:val="0"/>
                <w:color w:val="auto"/>
                <w:kern w:val="0"/>
                <w:sz w:val="24"/>
                <w:szCs w:val="24"/>
                <w:highlight w:val="none"/>
                <w:u w:val="none"/>
                <w:lang w:val="en-US" w:eastAsia="zh-CN" w:bidi="ar"/>
              </w:rPr>
              <w:t>乡村生态发展有限公司</w:t>
            </w:r>
          </w:p>
        </w:tc>
        <w:tc>
          <w:tcPr>
            <w:tcW w:w="80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77AB0E6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四联村</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7B40C">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44</w:t>
            </w:r>
          </w:p>
        </w:tc>
        <w:tc>
          <w:tcPr>
            <w:tcW w:w="7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AF0C12">
            <w:pPr>
              <w:jc w:val="center"/>
              <w:rPr>
                <w:rFonts w:hint="eastAsia" w:ascii="宋体" w:hAnsi="宋体" w:eastAsia="宋体" w:cs="宋体"/>
                <w:i w:val="0"/>
                <w:iCs w:val="0"/>
                <w:color w:val="auto"/>
                <w:sz w:val="24"/>
                <w:szCs w:val="24"/>
                <w:highlight w:val="none"/>
                <w:u w:val="none"/>
              </w:rPr>
            </w:pPr>
          </w:p>
        </w:tc>
      </w:tr>
      <w:tr w14:paraId="6BF8B5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52A3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13</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CD36EA">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凉亭乡</w:t>
            </w:r>
          </w:p>
        </w:tc>
        <w:tc>
          <w:tcPr>
            <w:tcW w:w="21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B11D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怀宁县</w:t>
            </w:r>
            <w:r>
              <w:rPr>
                <w:rFonts w:hint="eastAsia" w:ascii="宋体" w:hAnsi="宋体" w:eastAsia="宋体" w:cs="宋体"/>
                <w:i w:val="0"/>
                <w:iCs w:val="0"/>
                <w:color w:val="auto"/>
                <w:kern w:val="0"/>
                <w:sz w:val="24"/>
                <w:szCs w:val="24"/>
                <w:highlight w:val="none"/>
                <w:u w:val="none"/>
                <w:lang w:val="en-US" w:eastAsia="zh-CN" w:bidi="ar"/>
              </w:rPr>
              <w:t>青岭</w:t>
            </w:r>
            <w:r>
              <w:rPr>
                <w:rFonts w:hint="eastAsia" w:ascii="宋体" w:hAnsi="宋体" w:cs="宋体"/>
                <w:i w:val="0"/>
                <w:iCs w:val="0"/>
                <w:color w:val="auto"/>
                <w:kern w:val="0"/>
                <w:sz w:val="24"/>
                <w:szCs w:val="24"/>
                <w:highlight w:val="none"/>
                <w:u w:val="none"/>
                <w:lang w:val="en-US" w:eastAsia="zh-CN" w:bidi="ar"/>
              </w:rPr>
              <w:t>乡村生态发展有限公司</w:t>
            </w:r>
          </w:p>
        </w:tc>
        <w:tc>
          <w:tcPr>
            <w:tcW w:w="80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0DF95A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双岭村</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95A0C1">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80</w:t>
            </w:r>
          </w:p>
        </w:tc>
        <w:tc>
          <w:tcPr>
            <w:tcW w:w="7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9142C">
            <w:pPr>
              <w:jc w:val="center"/>
              <w:rPr>
                <w:rFonts w:hint="eastAsia" w:ascii="宋体" w:hAnsi="宋体" w:eastAsia="宋体" w:cs="宋体"/>
                <w:i w:val="0"/>
                <w:iCs w:val="0"/>
                <w:color w:val="auto"/>
                <w:sz w:val="24"/>
                <w:szCs w:val="24"/>
                <w:highlight w:val="none"/>
                <w:u w:val="none"/>
              </w:rPr>
            </w:pPr>
          </w:p>
        </w:tc>
      </w:tr>
      <w:tr w14:paraId="544C9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707D2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14</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5067F">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月山镇</w:t>
            </w:r>
          </w:p>
        </w:tc>
        <w:tc>
          <w:tcPr>
            <w:tcW w:w="21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D5C6A9">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怀宁县</w:t>
            </w:r>
            <w:r>
              <w:rPr>
                <w:rFonts w:hint="eastAsia" w:ascii="宋体" w:hAnsi="宋体" w:eastAsia="宋体" w:cs="宋体"/>
                <w:i w:val="0"/>
                <w:iCs w:val="0"/>
                <w:color w:val="auto"/>
                <w:kern w:val="0"/>
                <w:sz w:val="24"/>
                <w:szCs w:val="24"/>
                <w:highlight w:val="none"/>
                <w:u w:val="none"/>
                <w:lang w:val="en-US" w:eastAsia="zh-CN" w:bidi="ar"/>
              </w:rPr>
              <w:t>白洋湖</w:t>
            </w:r>
            <w:r>
              <w:rPr>
                <w:rFonts w:hint="eastAsia" w:ascii="宋体" w:hAnsi="宋体" w:cs="宋体"/>
                <w:i w:val="0"/>
                <w:iCs w:val="0"/>
                <w:color w:val="auto"/>
                <w:kern w:val="0"/>
                <w:sz w:val="24"/>
                <w:szCs w:val="24"/>
                <w:highlight w:val="none"/>
                <w:u w:val="none"/>
                <w:lang w:val="en-US" w:eastAsia="zh-CN" w:bidi="ar"/>
              </w:rPr>
              <w:t>绿色农业有限公司</w:t>
            </w:r>
          </w:p>
        </w:tc>
        <w:tc>
          <w:tcPr>
            <w:tcW w:w="80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4C084E6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奇隆村</w:t>
            </w: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882A45">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70</w:t>
            </w:r>
          </w:p>
        </w:tc>
        <w:tc>
          <w:tcPr>
            <w:tcW w:w="7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7DF518">
            <w:pPr>
              <w:jc w:val="center"/>
              <w:rPr>
                <w:rFonts w:hint="eastAsia" w:ascii="宋体" w:hAnsi="宋体" w:eastAsia="宋体" w:cs="宋体"/>
                <w:i w:val="0"/>
                <w:iCs w:val="0"/>
                <w:color w:val="auto"/>
                <w:sz w:val="24"/>
                <w:szCs w:val="24"/>
                <w:highlight w:val="none"/>
                <w:u w:val="none"/>
              </w:rPr>
            </w:pPr>
          </w:p>
        </w:tc>
      </w:tr>
      <w:tr w14:paraId="4C898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5B0A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15</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13E54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清河乡</w:t>
            </w:r>
          </w:p>
        </w:tc>
        <w:tc>
          <w:tcPr>
            <w:tcW w:w="21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882B3">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怀宁县</w:t>
            </w:r>
            <w:r>
              <w:rPr>
                <w:rFonts w:hint="eastAsia" w:ascii="宋体" w:hAnsi="宋体" w:eastAsia="宋体" w:cs="宋体"/>
                <w:i w:val="0"/>
                <w:iCs w:val="0"/>
                <w:color w:val="auto"/>
                <w:kern w:val="0"/>
                <w:sz w:val="24"/>
                <w:szCs w:val="24"/>
                <w:highlight w:val="none"/>
                <w:u w:val="none"/>
                <w:lang w:val="en-US" w:eastAsia="zh-CN" w:bidi="ar"/>
              </w:rPr>
              <w:t>霸王岭</w:t>
            </w:r>
            <w:r>
              <w:rPr>
                <w:rFonts w:hint="eastAsia" w:ascii="宋体" w:hAnsi="宋体" w:cs="宋体"/>
                <w:i w:val="0"/>
                <w:iCs w:val="0"/>
                <w:color w:val="auto"/>
                <w:kern w:val="0"/>
                <w:sz w:val="24"/>
                <w:szCs w:val="24"/>
                <w:highlight w:val="none"/>
                <w:u w:val="none"/>
                <w:lang w:val="en-US" w:eastAsia="zh-CN" w:bidi="ar"/>
              </w:rPr>
              <w:t>乡村生态发展有限公司</w:t>
            </w:r>
          </w:p>
        </w:tc>
        <w:tc>
          <w:tcPr>
            <w:tcW w:w="80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0E3EA95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清河社区</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88CDB">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250</w:t>
            </w:r>
          </w:p>
        </w:tc>
        <w:tc>
          <w:tcPr>
            <w:tcW w:w="7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9A778">
            <w:pPr>
              <w:jc w:val="center"/>
              <w:rPr>
                <w:rFonts w:hint="eastAsia" w:ascii="宋体" w:hAnsi="宋体" w:eastAsia="宋体" w:cs="宋体"/>
                <w:i w:val="0"/>
                <w:iCs w:val="0"/>
                <w:color w:val="auto"/>
                <w:sz w:val="24"/>
                <w:szCs w:val="24"/>
                <w:highlight w:val="none"/>
                <w:u w:val="none"/>
              </w:rPr>
            </w:pPr>
          </w:p>
        </w:tc>
      </w:tr>
      <w:tr w14:paraId="1D5C8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F03312">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16</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032D9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洪铺镇</w:t>
            </w:r>
          </w:p>
        </w:tc>
        <w:tc>
          <w:tcPr>
            <w:tcW w:w="21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FB0B2">
            <w:pPr>
              <w:keepNext w:val="0"/>
              <w:keepLines w:val="0"/>
              <w:widowControl/>
              <w:suppressLineNumbers w:val="0"/>
              <w:jc w:val="center"/>
              <w:textAlignment w:val="center"/>
              <w:rPr>
                <w:rFonts w:hint="default" w:ascii="宋体" w:hAnsi="宋体" w:eastAsia="宋体" w:cs="宋体"/>
                <w:i w:val="0"/>
                <w:iCs w:val="0"/>
                <w:color w:val="auto"/>
                <w:sz w:val="24"/>
                <w:szCs w:val="24"/>
                <w:highlight w:val="none"/>
                <w:u w:val="none"/>
                <w:lang w:val="en-US"/>
              </w:rPr>
            </w:pPr>
            <w:r>
              <w:rPr>
                <w:rFonts w:hint="eastAsia" w:ascii="宋体" w:hAnsi="宋体" w:cs="宋体"/>
                <w:i w:val="0"/>
                <w:iCs w:val="0"/>
                <w:color w:val="auto"/>
                <w:kern w:val="0"/>
                <w:sz w:val="24"/>
                <w:szCs w:val="24"/>
                <w:highlight w:val="none"/>
                <w:u w:val="none"/>
                <w:lang w:val="en-US" w:eastAsia="zh-CN" w:bidi="ar"/>
              </w:rPr>
              <w:t>怀宁县</w:t>
            </w:r>
            <w:r>
              <w:rPr>
                <w:rFonts w:hint="eastAsia" w:ascii="宋体" w:hAnsi="宋体" w:eastAsia="宋体" w:cs="宋体"/>
                <w:i w:val="0"/>
                <w:iCs w:val="0"/>
                <w:color w:val="auto"/>
                <w:kern w:val="0"/>
                <w:sz w:val="24"/>
                <w:szCs w:val="24"/>
                <w:highlight w:val="none"/>
                <w:u w:val="none"/>
                <w:lang w:val="en-US" w:eastAsia="zh-CN" w:bidi="ar"/>
              </w:rPr>
              <w:t>天仙湾</w:t>
            </w:r>
            <w:r>
              <w:rPr>
                <w:rFonts w:hint="eastAsia" w:ascii="宋体" w:hAnsi="宋体" w:cs="宋体"/>
                <w:i w:val="0"/>
                <w:iCs w:val="0"/>
                <w:color w:val="auto"/>
                <w:kern w:val="0"/>
                <w:sz w:val="24"/>
                <w:szCs w:val="24"/>
                <w:highlight w:val="none"/>
                <w:u w:val="none"/>
                <w:lang w:val="en-US" w:eastAsia="zh-CN" w:bidi="ar"/>
              </w:rPr>
              <w:t>绿色农业有限公司</w:t>
            </w:r>
          </w:p>
        </w:tc>
        <w:tc>
          <w:tcPr>
            <w:tcW w:w="80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122B2A7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新岗村</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7E8A2B">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150</w:t>
            </w:r>
          </w:p>
        </w:tc>
        <w:tc>
          <w:tcPr>
            <w:tcW w:w="7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7375A">
            <w:pPr>
              <w:jc w:val="center"/>
              <w:rPr>
                <w:rFonts w:hint="eastAsia" w:ascii="宋体" w:hAnsi="宋体" w:eastAsia="宋体" w:cs="宋体"/>
                <w:i w:val="0"/>
                <w:iCs w:val="0"/>
                <w:color w:val="auto"/>
                <w:sz w:val="24"/>
                <w:szCs w:val="24"/>
                <w:highlight w:val="none"/>
                <w:u w:val="none"/>
              </w:rPr>
            </w:pPr>
          </w:p>
        </w:tc>
      </w:tr>
      <w:tr w14:paraId="2E88F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3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84E4B6">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17</w:t>
            </w:r>
          </w:p>
        </w:tc>
        <w:tc>
          <w:tcPr>
            <w:tcW w:w="508" w:type="pct"/>
            <w:vMerge w:val="restart"/>
            <w:tcBorders>
              <w:top w:val="nil"/>
              <w:left w:val="single" w:color="000000" w:sz="4" w:space="0"/>
              <w:bottom w:val="single" w:color="000000" w:sz="4" w:space="0"/>
              <w:right w:val="single" w:color="000000" w:sz="4" w:space="0"/>
            </w:tcBorders>
            <w:shd w:val="clear" w:color="auto" w:fill="auto"/>
            <w:vAlign w:val="center"/>
          </w:tcPr>
          <w:p w14:paraId="741D9DC5">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腊树镇</w:t>
            </w:r>
          </w:p>
        </w:tc>
        <w:tc>
          <w:tcPr>
            <w:tcW w:w="21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F98934">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cs="宋体"/>
                <w:i w:val="0"/>
                <w:iCs w:val="0"/>
                <w:color w:val="auto"/>
                <w:kern w:val="0"/>
                <w:sz w:val="24"/>
                <w:szCs w:val="24"/>
                <w:highlight w:val="none"/>
                <w:u w:val="none"/>
                <w:lang w:val="en-US" w:eastAsia="zh-CN" w:bidi="ar"/>
              </w:rPr>
              <w:t>怀宁县</w:t>
            </w:r>
            <w:r>
              <w:rPr>
                <w:rFonts w:hint="eastAsia" w:ascii="宋体" w:hAnsi="宋体" w:eastAsia="宋体" w:cs="宋体"/>
                <w:i w:val="0"/>
                <w:iCs w:val="0"/>
                <w:color w:val="auto"/>
                <w:kern w:val="0"/>
                <w:sz w:val="24"/>
                <w:szCs w:val="24"/>
                <w:highlight w:val="none"/>
                <w:u w:val="none"/>
                <w:lang w:val="en-US" w:eastAsia="zh-CN" w:bidi="ar"/>
              </w:rPr>
              <w:t>新征程</w:t>
            </w:r>
            <w:r>
              <w:rPr>
                <w:rFonts w:hint="eastAsia" w:ascii="宋体" w:hAnsi="宋体" w:cs="宋体"/>
                <w:i w:val="0"/>
                <w:iCs w:val="0"/>
                <w:color w:val="auto"/>
                <w:kern w:val="0"/>
                <w:sz w:val="24"/>
                <w:szCs w:val="24"/>
                <w:highlight w:val="none"/>
                <w:u w:val="none"/>
                <w:lang w:val="en-US" w:eastAsia="zh-CN" w:bidi="ar"/>
              </w:rPr>
              <w:t>乡村生态发展有限公司</w:t>
            </w:r>
          </w:p>
        </w:tc>
        <w:tc>
          <w:tcPr>
            <w:tcW w:w="80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308391B8">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芝岭村</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C1D80A">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39</w:t>
            </w:r>
          </w:p>
        </w:tc>
        <w:tc>
          <w:tcPr>
            <w:tcW w:w="7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0966A8">
            <w:pPr>
              <w:jc w:val="center"/>
              <w:rPr>
                <w:rFonts w:hint="eastAsia" w:ascii="宋体" w:hAnsi="宋体" w:eastAsia="宋体" w:cs="宋体"/>
                <w:i w:val="0"/>
                <w:iCs w:val="0"/>
                <w:color w:val="auto"/>
                <w:sz w:val="24"/>
                <w:szCs w:val="24"/>
                <w:highlight w:val="none"/>
                <w:u w:val="none"/>
              </w:rPr>
            </w:pPr>
          </w:p>
        </w:tc>
      </w:tr>
      <w:tr w14:paraId="2F5BDE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63E8D">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18</w:t>
            </w:r>
          </w:p>
        </w:tc>
        <w:tc>
          <w:tcPr>
            <w:tcW w:w="508" w:type="pct"/>
            <w:vMerge w:val="continue"/>
            <w:tcBorders>
              <w:top w:val="nil"/>
              <w:left w:val="single" w:color="000000" w:sz="4" w:space="0"/>
              <w:bottom w:val="single" w:color="000000" w:sz="4" w:space="0"/>
              <w:right w:val="single" w:color="000000" w:sz="4" w:space="0"/>
            </w:tcBorders>
            <w:shd w:val="clear" w:color="auto" w:fill="auto"/>
            <w:vAlign w:val="center"/>
          </w:tcPr>
          <w:p w14:paraId="4D88EBF1">
            <w:pPr>
              <w:jc w:val="center"/>
              <w:rPr>
                <w:rFonts w:hint="eastAsia" w:ascii="宋体" w:hAnsi="宋体" w:eastAsia="宋体" w:cs="宋体"/>
                <w:i w:val="0"/>
                <w:iCs w:val="0"/>
                <w:color w:val="auto"/>
                <w:sz w:val="24"/>
                <w:szCs w:val="24"/>
                <w:highlight w:val="none"/>
                <w:u w:val="none"/>
              </w:rPr>
            </w:pPr>
          </w:p>
        </w:tc>
        <w:tc>
          <w:tcPr>
            <w:tcW w:w="21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021B15">
            <w:pPr>
              <w:keepNext w:val="0"/>
              <w:keepLines w:val="0"/>
              <w:widowControl/>
              <w:suppressLineNumbers w:val="0"/>
              <w:jc w:val="center"/>
              <w:textAlignment w:val="center"/>
              <w:rPr>
                <w:rFonts w:hint="default" w:ascii="宋体" w:hAnsi="宋体" w:eastAsia="宋体" w:cs="宋体"/>
                <w:i w:val="0"/>
                <w:iCs w:val="0"/>
                <w:color w:val="auto"/>
                <w:sz w:val="24"/>
                <w:szCs w:val="24"/>
                <w:highlight w:val="none"/>
                <w:u w:val="none"/>
                <w:lang w:val="en-US"/>
              </w:rPr>
            </w:pPr>
            <w:r>
              <w:rPr>
                <w:rFonts w:hint="eastAsia" w:ascii="宋体" w:hAnsi="宋体" w:cs="宋体"/>
                <w:i w:val="0"/>
                <w:iCs w:val="0"/>
                <w:color w:val="auto"/>
                <w:kern w:val="0"/>
                <w:sz w:val="24"/>
                <w:szCs w:val="24"/>
                <w:highlight w:val="none"/>
                <w:u w:val="none"/>
                <w:lang w:val="en-US" w:eastAsia="zh-CN" w:bidi="ar"/>
              </w:rPr>
              <w:t>怀宁县</w:t>
            </w:r>
            <w:r>
              <w:rPr>
                <w:rFonts w:hint="eastAsia" w:ascii="宋体" w:hAnsi="宋体" w:eastAsia="宋体" w:cs="宋体"/>
                <w:i w:val="0"/>
                <w:iCs w:val="0"/>
                <w:color w:val="auto"/>
                <w:kern w:val="0"/>
                <w:sz w:val="24"/>
                <w:szCs w:val="24"/>
                <w:highlight w:val="none"/>
                <w:u w:val="none"/>
                <w:lang w:val="en-US" w:eastAsia="zh-CN" w:bidi="ar"/>
              </w:rPr>
              <w:t>白洋湖</w:t>
            </w:r>
            <w:r>
              <w:rPr>
                <w:rFonts w:hint="eastAsia" w:ascii="宋体" w:hAnsi="宋体" w:cs="宋体"/>
                <w:i w:val="0"/>
                <w:iCs w:val="0"/>
                <w:color w:val="auto"/>
                <w:kern w:val="0"/>
                <w:sz w:val="24"/>
                <w:szCs w:val="24"/>
                <w:highlight w:val="none"/>
                <w:u w:val="none"/>
                <w:lang w:val="en-US" w:eastAsia="zh-CN" w:bidi="ar"/>
              </w:rPr>
              <w:t>绿色农业有限公司</w:t>
            </w:r>
          </w:p>
        </w:tc>
        <w:tc>
          <w:tcPr>
            <w:tcW w:w="802" w:type="pct"/>
            <w:tcBorders>
              <w:top w:val="single" w:color="000000" w:sz="4" w:space="0"/>
              <w:left w:val="single" w:color="000000" w:sz="4" w:space="0"/>
              <w:bottom w:val="single" w:color="000000" w:sz="4" w:space="0"/>
              <w:right w:val="single" w:color="000000" w:sz="4" w:space="0"/>
            </w:tcBorders>
            <w:shd w:val="clear" w:color="auto" w:fill="FFFFFF" w:themeFill="background1"/>
            <w:noWrap/>
            <w:vAlign w:val="center"/>
          </w:tcPr>
          <w:p w14:paraId="6512D3DE">
            <w:pPr>
              <w:keepNext w:val="0"/>
              <w:keepLines w:val="0"/>
              <w:widowControl/>
              <w:suppressLineNumbers w:val="0"/>
              <w:jc w:val="center"/>
              <w:textAlignment w:val="center"/>
              <w:rPr>
                <w:rFonts w:hint="eastAsia" w:ascii="宋体" w:hAnsi="宋体" w:eastAsia="宋体" w:cs="宋体"/>
                <w:i w:val="0"/>
                <w:iCs w:val="0"/>
                <w:color w:val="auto"/>
                <w:sz w:val="24"/>
                <w:szCs w:val="24"/>
                <w:highlight w:val="none"/>
                <w:u w:val="none"/>
              </w:rPr>
            </w:pPr>
            <w:r>
              <w:rPr>
                <w:rFonts w:hint="eastAsia" w:ascii="宋体" w:hAnsi="宋体" w:eastAsia="宋体" w:cs="宋体"/>
                <w:i w:val="0"/>
                <w:iCs w:val="0"/>
                <w:color w:val="auto"/>
                <w:kern w:val="0"/>
                <w:sz w:val="24"/>
                <w:szCs w:val="24"/>
                <w:highlight w:val="none"/>
                <w:u w:val="none"/>
                <w:lang w:val="en-US" w:eastAsia="zh-CN" w:bidi="ar"/>
              </w:rPr>
              <w:t>龙山村</w:t>
            </w:r>
          </w:p>
        </w:tc>
        <w:tc>
          <w:tcPr>
            <w:tcW w:w="43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F945A7">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100</w:t>
            </w:r>
          </w:p>
        </w:tc>
        <w:tc>
          <w:tcPr>
            <w:tcW w:w="74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70F24">
            <w:pPr>
              <w:jc w:val="center"/>
              <w:rPr>
                <w:rFonts w:hint="eastAsia" w:ascii="宋体" w:hAnsi="宋体" w:eastAsia="宋体" w:cs="宋体"/>
                <w:i w:val="0"/>
                <w:iCs w:val="0"/>
                <w:color w:val="auto"/>
                <w:sz w:val="24"/>
                <w:szCs w:val="24"/>
                <w:highlight w:val="none"/>
                <w:u w:val="none"/>
              </w:rPr>
            </w:pPr>
          </w:p>
        </w:tc>
      </w:tr>
      <w:tr w14:paraId="34E81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36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9B0348">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总计</w:t>
            </w:r>
          </w:p>
        </w:tc>
        <w:tc>
          <w:tcPr>
            <w:tcW w:w="5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19AE14">
            <w:pPr>
              <w:jc w:val="center"/>
              <w:rPr>
                <w:rFonts w:hint="eastAsia" w:ascii="宋体" w:hAnsi="宋体" w:eastAsia="宋体" w:cs="宋体"/>
                <w:b/>
                <w:bCs/>
                <w:i w:val="0"/>
                <w:iCs w:val="0"/>
                <w:color w:val="auto"/>
                <w:sz w:val="24"/>
                <w:szCs w:val="24"/>
                <w:highlight w:val="none"/>
                <w:u w:val="none"/>
              </w:rPr>
            </w:pPr>
          </w:p>
        </w:tc>
        <w:tc>
          <w:tcPr>
            <w:tcW w:w="213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A437A">
            <w:pPr>
              <w:jc w:val="center"/>
              <w:rPr>
                <w:rFonts w:hint="eastAsia" w:ascii="宋体" w:hAnsi="宋体" w:eastAsia="宋体" w:cs="宋体"/>
                <w:b/>
                <w:bCs/>
                <w:i w:val="0"/>
                <w:iCs w:val="0"/>
                <w:color w:val="auto"/>
                <w:sz w:val="24"/>
                <w:szCs w:val="24"/>
                <w:highlight w:val="none"/>
                <w:u w:val="none"/>
              </w:rPr>
            </w:pPr>
          </w:p>
        </w:tc>
        <w:tc>
          <w:tcPr>
            <w:tcW w:w="80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81897">
            <w:pPr>
              <w:jc w:val="center"/>
              <w:rPr>
                <w:rFonts w:hint="eastAsia" w:ascii="宋体" w:hAnsi="宋体" w:eastAsia="宋体" w:cs="宋体"/>
                <w:b/>
                <w:bCs/>
                <w:i w:val="0"/>
                <w:iCs w:val="0"/>
                <w:color w:val="auto"/>
                <w:sz w:val="24"/>
                <w:szCs w:val="24"/>
                <w:highlight w:val="none"/>
                <w:u w:val="none"/>
              </w:rPr>
            </w:pPr>
          </w:p>
        </w:tc>
        <w:tc>
          <w:tcPr>
            <w:tcW w:w="43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2E4024">
            <w:pPr>
              <w:keepNext w:val="0"/>
              <w:keepLines w:val="0"/>
              <w:widowControl/>
              <w:suppressLineNumbers w:val="0"/>
              <w:jc w:val="center"/>
              <w:textAlignment w:val="center"/>
              <w:rPr>
                <w:rFonts w:hint="eastAsia" w:ascii="宋体" w:hAnsi="宋体" w:eastAsia="宋体" w:cs="宋体"/>
                <w:b/>
                <w:bCs/>
                <w:i w:val="0"/>
                <w:iCs w:val="0"/>
                <w:color w:val="auto"/>
                <w:sz w:val="24"/>
                <w:szCs w:val="24"/>
                <w:highlight w:val="none"/>
                <w:u w:val="none"/>
              </w:rPr>
            </w:pPr>
            <w:r>
              <w:rPr>
                <w:rFonts w:hint="eastAsia" w:ascii="宋体" w:hAnsi="宋体" w:eastAsia="宋体" w:cs="宋体"/>
                <w:b/>
                <w:bCs/>
                <w:i w:val="0"/>
                <w:iCs w:val="0"/>
                <w:color w:val="auto"/>
                <w:kern w:val="0"/>
                <w:sz w:val="24"/>
                <w:szCs w:val="24"/>
                <w:highlight w:val="none"/>
                <w:u w:val="none"/>
                <w:lang w:val="en-US" w:eastAsia="zh-CN" w:bidi="ar"/>
              </w:rPr>
              <w:t>1492</w:t>
            </w:r>
          </w:p>
        </w:tc>
        <w:tc>
          <w:tcPr>
            <w:tcW w:w="74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4C4859">
            <w:pPr>
              <w:jc w:val="center"/>
              <w:rPr>
                <w:rFonts w:hint="eastAsia" w:ascii="宋体" w:hAnsi="宋体" w:eastAsia="宋体" w:cs="宋体"/>
                <w:b/>
                <w:bCs/>
                <w:i w:val="0"/>
                <w:iCs w:val="0"/>
                <w:color w:val="auto"/>
                <w:sz w:val="24"/>
                <w:szCs w:val="24"/>
                <w:highlight w:val="none"/>
                <w:u w:val="none"/>
              </w:rPr>
            </w:pPr>
          </w:p>
        </w:tc>
      </w:tr>
    </w:tbl>
    <w:p w14:paraId="40DA4AD7">
      <w:pPr>
        <w:keepNext/>
        <w:keepLines/>
        <w:widowControl w:val="0"/>
        <w:spacing w:line="360" w:lineRule="auto"/>
        <w:jc w:val="left"/>
        <w:outlineLvl w:val="1"/>
        <w:rPr>
          <w:rFonts w:hint="eastAsia" w:ascii="Cambria" w:hAnsi="Cambria" w:eastAsia="宋体" w:cs="Times New Roman"/>
          <w:b/>
          <w:bCs/>
          <w:color w:val="auto"/>
          <w:kern w:val="2"/>
          <w:sz w:val="28"/>
          <w:szCs w:val="32"/>
          <w:highlight w:val="none"/>
          <w:lang w:val="en-US" w:eastAsia="zh-CN" w:bidi="ar-SA"/>
        </w:rPr>
      </w:pPr>
      <w:r>
        <w:rPr>
          <w:rFonts w:hint="eastAsia" w:ascii="Cambria" w:hAnsi="Cambria" w:eastAsia="宋体" w:cs="Times New Roman"/>
          <w:b/>
          <w:bCs/>
          <w:color w:val="auto"/>
          <w:kern w:val="2"/>
          <w:sz w:val="28"/>
          <w:szCs w:val="32"/>
          <w:highlight w:val="none"/>
          <w:lang w:val="en-US" w:eastAsia="zh-CN" w:bidi="ar-SA"/>
        </w:rPr>
        <w:t>二、规范性引用文件</w:t>
      </w:r>
    </w:p>
    <w:p w14:paraId="1D7D9405">
      <w:pPr>
        <w:widowControl w:val="0"/>
        <w:numPr>
          <w:ilvl w:val="0"/>
          <w:numId w:val="0"/>
        </w:numPr>
        <w:spacing w:line="360" w:lineRule="auto"/>
        <w:ind w:firstLine="240" w:firstLineChars="100"/>
        <w:jc w:val="left"/>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下列文件中的内容通过文中的规范性引用而构成本文件必不可少的条款。其中，注日期的引用文件，仅该日期对应的版本适用于本文件；不注日期的引用文件，其最新版本(包括所有的修改单)适用于本文件。</w:t>
      </w:r>
    </w:p>
    <w:p w14:paraId="33095140">
      <w:pPr>
        <w:widowControl w:val="0"/>
        <w:numPr>
          <w:ilvl w:val="0"/>
          <w:numId w:val="0"/>
        </w:numPr>
        <w:spacing w:line="360" w:lineRule="auto"/>
        <w:jc w:val="left"/>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GB/T 10002·1-2023 给水用硬聚氯乙烯（PVC-U）管材</w:t>
      </w:r>
    </w:p>
    <w:p w14:paraId="5A89C91C">
      <w:pPr>
        <w:widowControl w:val="0"/>
        <w:numPr>
          <w:ilvl w:val="0"/>
          <w:numId w:val="0"/>
        </w:numPr>
        <w:spacing w:line="360" w:lineRule="auto"/>
        <w:jc w:val="left"/>
        <w:rPr>
          <w:rFonts w:hint="eastAsia"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fldChar w:fldCharType="begin"/>
      </w:r>
      <w:r>
        <w:rPr>
          <w:rFonts w:hint="default" w:ascii="Times New Roman" w:hAnsi="Times New Roman" w:eastAsia="宋体" w:cs="Times New Roman"/>
          <w:color w:val="auto"/>
          <w:kern w:val="2"/>
          <w:sz w:val="24"/>
          <w:szCs w:val="24"/>
          <w:highlight w:val="none"/>
          <w:lang w:val="en-US" w:eastAsia="zh-CN" w:bidi="ar-SA"/>
        </w:rPr>
        <w:instrText xml:space="preserve"> HYPERLINK "https://std.samr.gov.cn/gb/search/gbDetailed?id=053404E3EF558F91E06397BE0A0A9209" \t "https://std.samr.gov.cn/search/stdPage?q=GB/_blank" </w:instrText>
      </w:r>
      <w:r>
        <w:rPr>
          <w:rFonts w:hint="default" w:ascii="Times New Roman" w:hAnsi="Times New Roman" w:eastAsia="宋体" w:cs="Times New Roman"/>
          <w:color w:val="auto"/>
          <w:kern w:val="2"/>
          <w:sz w:val="24"/>
          <w:szCs w:val="24"/>
          <w:highlight w:val="none"/>
          <w:lang w:val="en-US" w:eastAsia="zh-CN" w:bidi="ar-SA"/>
        </w:rPr>
        <w:fldChar w:fldCharType="separate"/>
      </w:r>
      <w:r>
        <w:rPr>
          <w:rFonts w:hint="default" w:ascii="Times New Roman" w:hAnsi="Times New Roman" w:eastAsia="宋体" w:cs="Times New Roman"/>
          <w:color w:val="auto"/>
          <w:kern w:val="2"/>
          <w:sz w:val="24"/>
          <w:szCs w:val="24"/>
          <w:highlight w:val="none"/>
          <w:lang w:val="en-US" w:eastAsia="zh-CN" w:bidi="ar-SA"/>
        </w:rPr>
        <w:t>GB/T</w:t>
      </w:r>
      <w:r>
        <w:rPr>
          <w:rFonts w:hint="eastAsia" w:ascii="Times New Roman" w:hAnsi="Times New Roman" w:eastAsia="宋体" w:cs="Times New Roman"/>
          <w:color w:val="auto"/>
          <w:kern w:val="2"/>
          <w:sz w:val="24"/>
          <w:szCs w:val="24"/>
          <w:highlight w:val="none"/>
          <w:lang w:val="en-US" w:eastAsia="zh-CN" w:bidi="ar-SA"/>
        </w:rPr>
        <w:t xml:space="preserve"> </w:t>
      </w:r>
      <w:r>
        <w:rPr>
          <w:rFonts w:hint="default" w:ascii="Times New Roman" w:hAnsi="Times New Roman" w:eastAsia="宋体" w:cs="Times New Roman"/>
          <w:color w:val="auto"/>
          <w:kern w:val="2"/>
          <w:sz w:val="24"/>
          <w:szCs w:val="24"/>
          <w:highlight w:val="none"/>
          <w:lang w:val="en-US" w:eastAsia="zh-CN" w:bidi="ar-SA"/>
        </w:rPr>
        <w:t>13664-2023 低压灌溉用硬聚氯乙烯（PVC-U）管材</w:t>
      </w:r>
      <w:r>
        <w:rPr>
          <w:rFonts w:hint="default" w:ascii="Times New Roman" w:hAnsi="Times New Roman" w:eastAsia="宋体" w:cs="Times New Roman"/>
          <w:color w:val="auto"/>
          <w:kern w:val="2"/>
          <w:sz w:val="24"/>
          <w:szCs w:val="24"/>
          <w:highlight w:val="none"/>
          <w:lang w:val="en-US" w:eastAsia="zh-CN" w:bidi="ar-SA"/>
        </w:rPr>
        <w:fldChar w:fldCharType="end"/>
      </w:r>
    </w:p>
    <w:p w14:paraId="4AB2E0E5">
      <w:pPr>
        <w:widowControl w:val="0"/>
        <w:numPr>
          <w:ilvl w:val="0"/>
          <w:numId w:val="0"/>
        </w:numPr>
        <w:spacing w:line="360" w:lineRule="auto"/>
        <w:jc w:val="left"/>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fldChar w:fldCharType="begin"/>
      </w:r>
      <w:r>
        <w:rPr>
          <w:rFonts w:hint="eastAsia" w:ascii="Times New Roman" w:hAnsi="Times New Roman" w:eastAsia="宋体" w:cs="Times New Roman"/>
          <w:color w:val="auto"/>
          <w:kern w:val="2"/>
          <w:sz w:val="24"/>
          <w:szCs w:val="24"/>
          <w:highlight w:val="none"/>
          <w:lang w:val="en-US" w:eastAsia="zh-CN" w:bidi="ar-SA"/>
        </w:rPr>
        <w:instrText xml:space="preserve"> HYPERLINK "https://std.samr.gov.cn/gb/search/gbDetailed?id=71F772D82617D3A7E05397BE0A0AB82A" \t "https://std.samr.gov.cn/search/stdPage?q=GB/_blank" </w:instrText>
      </w:r>
      <w:r>
        <w:rPr>
          <w:rFonts w:hint="eastAsia" w:ascii="Times New Roman" w:hAnsi="Times New Roman" w:eastAsia="宋体" w:cs="Times New Roman"/>
          <w:color w:val="auto"/>
          <w:kern w:val="2"/>
          <w:sz w:val="24"/>
          <w:szCs w:val="24"/>
          <w:highlight w:val="none"/>
          <w:lang w:val="en-US" w:eastAsia="zh-CN" w:bidi="ar-SA"/>
        </w:rPr>
        <w:fldChar w:fldCharType="separate"/>
      </w:r>
      <w:r>
        <w:rPr>
          <w:rFonts w:hint="default" w:ascii="Times New Roman" w:hAnsi="Times New Roman" w:eastAsia="宋体" w:cs="Times New Roman"/>
          <w:color w:val="auto"/>
          <w:kern w:val="2"/>
          <w:sz w:val="24"/>
          <w:szCs w:val="24"/>
          <w:highlight w:val="none"/>
          <w:lang w:val="en-US" w:eastAsia="zh-CN" w:bidi="ar-SA"/>
        </w:rPr>
        <w:t>GB/T 13663.1-2017  给水用聚乙烯（PE）管道系统 第1部分：总则</w:t>
      </w:r>
      <w:r>
        <w:rPr>
          <w:rFonts w:hint="default" w:ascii="Times New Roman" w:hAnsi="Times New Roman" w:eastAsia="宋体" w:cs="Times New Roman"/>
          <w:color w:val="auto"/>
          <w:kern w:val="2"/>
          <w:sz w:val="24"/>
          <w:szCs w:val="24"/>
          <w:highlight w:val="none"/>
          <w:lang w:val="en-US" w:eastAsia="zh-CN" w:bidi="ar-SA"/>
        </w:rPr>
        <w:fldChar w:fldCharType="end"/>
      </w:r>
    </w:p>
    <w:p w14:paraId="1E91B395">
      <w:pPr>
        <w:widowControl w:val="0"/>
        <w:numPr>
          <w:ilvl w:val="0"/>
          <w:numId w:val="0"/>
        </w:numPr>
        <w:spacing w:line="360" w:lineRule="auto"/>
        <w:jc w:val="left"/>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 xml:space="preserve">GB/T 13663.2-2018 </w:t>
      </w:r>
      <w:r>
        <w:rPr>
          <w:rFonts w:hint="default" w:ascii="Times New Roman" w:hAnsi="Times New Roman" w:eastAsia="宋体" w:cs="Times New Roman"/>
          <w:color w:val="auto"/>
          <w:kern w:val="2"/>
          <w:sz w:val="24"/>
          <w:szCs w:val="24"/>
          <w:highlight w:val="none"/>
          <w:lang w:val="en-US" w:eastAsia="zh-CN" w:bidi="ar-SA"/>
        </w:rPr>
        <w:fldChar w:fldCharType="begin"/>
      </w:r>
      <w:r>
        <w:rPr>
          <w:rFonts w:hint="default" w:ascii="Times New Roman" w:hAnsi="Times New Roman" w:eastAsia="宋体" w:cs="Times New Roman"/>
          <w:color w:val="auto"/>
          <w:kern w:val="2"/>
          <w:sz w:val="24"/>
          <w:szCs w:val="24"/>
          <w:highlight w:val="none"/>
          <w:lang w:val="en-US" w:eastAsia="zh-CN" w:bidi="ar-SA"/>
        </w:rPr>
        <w:instrText xml:space="preserve"> HYPERLINK "https://std.samr.gov.cn/gb/search/gbDetailed?id=71F772D82817D3A7E05397BE0A0AB82A" \t "https://std.samr.gov.cn/search/stdPage?q=GB/_blank" </w:instrText>
      </w:r>
      <w:r>
        <w:rPr>
          <w:rFonts w:hint="default" w:ascii="Times New Roman" w:hAnsi="Times New Roman" w:eastAsia="宋体" w:cs="Times New Roman"/>
          <w:color w:val="auto"/>
          <w:kern w:val="2"/>
          <w:sz w:val="24"/>
          <w:szCs w:val="24"/>
          <w:highlight w:val="none"/>
          <w:lang w:val="en-US" w:eastAsia="zh-CN" w:bidi="ar-SA"/>
        </w:rPr>
        <w:fldChar w:fldCharType="separate"/>
      </w:r>
      <w:r>
        <w:rPr>
          <w:rFonts w:hint="default" w:ascii="Times New Roman" w:hAnsi="Times New Roman" w:eastAsia="宋体" w:cs="Times New Roman"/>
          <w:color w:val="auto"/>
          <w:kern w:val="2"/>
          <w:sz w:val="24"/>
          <w:szCs w:val="24"/>
          <w:highlight w:val="none"/>
          <w:lang w:val="en-US" w:eastAsia="zh-CN" w:bidi="ar-SA"/>
        </w:rPr>
        <w:t>给水用聚乙烯（PE）管道系统 第2部分：管材</w:t>
      </w:r>
      <w:r>
        <w:rPr>
          <w:rFonts w:hint="default" w:ascii="Times New Roman" w:hAnsi="Times New Roman" w:eastAsia="宋体" w:cs="Times New Roman"/>
          <w:color w:val="auto"/>
          <w:kern w:val="2"/>
          <w:sz w:val="24"/>
          <w:szCs w:val="24"/>
          <w:highlight w:val="none"/>
          <w:lang w:val="en-US" w:eastAsia="zh-CN" w:bidi="ar-SA"/>
        </w:rPr>
        <w:fldChar w:fldCharType="end"/>
      </w:r>
    </w:p>
    <w:p w14:paraId="3B80E054">
      <w:pPr>
        <w:widowControl w:val="0"/>
        <w:numPr>
          <w:ilvl w:val="0"/>
          <w:numId w:val="0"/>
        </w:numPr>
        <w:spacing w:line="360" w:lineRule="auto"/>
        <w:jc w:val="left"/>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fldChar w:fldCharType="begin"/>
      </w:r>
      <w:r>
        <w:rPr>
          <w:rFonts w:hint="eastAsia" w:ascii="Times New Roman" w:hAnsi="Times New Roman" w:eastAsia="宋体" w:cs="Times New Roman"/>
          <w:color w:val="auto"/>
          <w:kern w:val="2"/>
          <w:sz w:val="24"/>
          <w:szCs w:val="24"/>
          <w:highlight w:val="none"/>
          <w:lang w:val="en-US" w:eastAsia="zh-CN" w:bidi="ar-SA"/>
        </w:rPr>
        <w:instrText xml:space="preserve"> HYPERLINK "https://std.samr.gov.cn/gb/search/gbDetailed?id=71F772D827FDD3A7E05397BE0A0AB82A" \t "https://std.samr.gov.cn/search/stdPage?q=GB/_blank" </w:instrText>
      </w:r>
      <w:r>
        <w:rPr>
          <w:rFonts w:hint="eastAsia" w:ascii="Times New Roman" w:hAnsi="Times New Roman" w:eastAsia="宋体" w:cs="Times New Roman"/>
          <w:color w:val="auto"/>
          <w:kern w:val="2"/>
          <w:sz w:val="24"/>
          <w:szCs w:val="24"/>
          <w:highlight w:val="none"/>
          <w:lang w:val="en-US" w:eastAsia="zh-CN" w:bidi="ar-SA"/>
        </w:rPr>
        <w:fldChar w:fldCharType="separate"/>
      </w:r>
      <w:r>
        <w:rPr>
          <w:rFonts w:hint="default" w:ascii="Times New Roman" w:hAnsi="Times New Roman" w:eastAsia="宋体" w:cs="Times New Roman"/>
          <w:color w:val="auto"/>
          <w:kern w:val="2"/>
          <w:sz w:val="24"/>
          <w:szCs w:val="24"/>
          <w:highlight w:val="none"/>
          <w:lang w:val="en-US" w:eastAsia="zh-CN" w:bidi="ar-SA"/>
        </w:rPr>
        <w:t>GB/T 13663.3-2018  给水用聚乙烯（PE）管道系统 第3部分：管件</w:t>
      </w:r>
      <w:r>
        <w:rPr>
          <w:rFonts w:hint="default" w:ascii="Times New Roman" w:hAnsi="Times New Roman" w:eastAsia="宋体" w:cs="Times New Roman"/>
          <w:color w:val="auto"/>
          <w:kern w:val="2"/>
          <w:sz w:val="24"/>
          <w:szCs w:val="24"/>
          <w:highlight w:val="none"/>
          <w:lang w:val="en-US" w:eastAsia="zh-CN" w:bidi="ar-SA"/>
        </w:rPr>
        <w:fldChar w:fldCharType="end"/>
      </w:r>
    </w:p>
    <w:p w14:paraId="70DF8D37">
      <w:pPr>
        <w:widowControl w:val="0"/>
        <w:numPr>
          <w:ilvl w:val="0"/>
          <w:numId w:val="0"/>
        </w:numPr>
        <w:spacing w:line="360" w:lineRule="auto"/>
        <w:jc w:val="left"/>
        <w:rPr>
          <w:rFonts w:hint="eastAsia"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fldChar w:fldCharType="begin"/>
      </w:r>
      <w:r>
        <w:rPr>
          <w:rFonts w:hint="default" w:ascii="Times New Roman" w:hAnsi="Times New Roman" w:eastAsia="宋体" w:cs="Times New Roman"/>
          <w:color w:val="auto"/>
          <w:kern w:val="2"/>
          <w:sz w:val="24"/>
          <w:szCs w:val="24"/>
          <w:highlight w:val="none"/>
          <w:lang w:val="en-US" w:eastAsia="zh-CN" w:bidi="ar-SA"/>
        </w:rPr>
        <w:instrText xml:space="preserve"> HYPERLINK "https://std.samr.gov.cn/gb/search/gbDetailed?id=71F772D827FFD3A7E05397BE0A0AB82A" \t "https://std.samr.gov.cn/search/stdPage?q=GB/_blank" </w:instrText>
      </w:r>
      <w:r>
        <w:rPr>
          <w:rFonts w:hint="default" w:ascii="Times New Roman" w:hAnsi="Times New Roman" w:eastAsia="宋体" w:cs="Times New Roman"/>
          <w:color w:val="auto"/>
          <w:kern w:val="2"/>
          <w:sz w:val="24"/>
          <w:szCs w:val="24"/>
          <w:highlight w:val="none"/>
          <w:lang w:val="en-US" w:eastAsia="zh-CN" w:bidi="ar-SA"/>
        </w:rPr>
        <w:fldChar w:fldCharType="separate"/>
      </w:r>
      <w:r>
        <w:rPr>
          <w:rFonts w:hint="default" w:ascii="Times New Roman" w:hAnsi="Times New Roman" w:eastAsia="宋体" w:cs="Times New Roman"/>
          <w:color w:val="auto"/>
          <w:kern w:val="2"/>
          <w:sz w:val="24"/>
          <w:szCs w:val="24"/>
          <w:highlight w:val="none"/>
          <w:lang w:val="en-US" w:eastAsia="zh-CN" w:bidi="ar-SA"/>
        </w:rPr>
        <w:t>GB/T 13663.5-2018  给水用聚乙烯（PE）管道系统 第5部分：系统适用性</w:t>
      </w:r>
      <w:r>
        <w:rPr>
          <w:rFonts w:hint="default" w:ascii="Times New Roman" w:hAnsi="Times New Roman" w:eastAsia="宋体" w:cs="Times New Roman"/>
          <w:color w:val="auto"/>
          <w:kern w:val="2"/>
          <w:sz w:val="24"/>
          <w:szCs w:val="24"/>
          <w:highlight w:val="none"/>
          <w:lang w:val="en-US" w:eastAsia="zh-CN" w:bidi="ar-SA"/>
        </w:rPr>
        <w:fldChar w:fldCharType="end"/>
      </w:r>
    </w:p>
    <w:p w14:paraId="1D5AC561">
      <w:pPr>
        <w:widowControl w:val="0"/>
        <w:numPr>
          <w:ilvl w:val="0"/>
          <w:numId w:val="0"/>
        </w:numPr>
        <w:spacing w:line="360" w:lineRule="auto"/>
        <w:jc w:val="left"/>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GB/T 18690.2-2017 农业灌溉设备 微灌用过滤器 第2部分：网式过滤器和叠片式过滤器</w:t>
      </w:r>
    </w:p>
    <w:p w14:paraId="3567D5C7">
      <w:pPr>
        <w:widowControl w:val="0"/>
        <w:numPr>
          <w:ilvl w:val="0"/>
          <w:numId w:val="0"/>
        </w:numPr>
        <w:spacing w:line="360" w:lineRule="auto"/>
        <w:jc w:val="left"/>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GB/T 18690.4-2023 农业灌溉设备 微灌用过滤器 第4部分：颗粒介质过滤器</w:t>
      </w:r>
      <w:r>
        <w:rPr>
          <w:rFonts w:hint="eastAsia" w:ascii="Times New Roman" w:hAnsi="Times New Roman" w:eastAsia="宋体" w:cs="Times New Roman"/>
          <w:color w:val="auto"/>
          <w:kern w:val="2"/>
          <w:sz w:val="24"/>
          <w:szCs w:val="24"/>
          <w:highlight w:val="none"/>
          <w:lang w:val="en-US" w:eastAsia="zh-CN" w:bidi="ar-SA"/>
        </w:rPr>
        <w:fldChar w:fldCharType="begin"/>
      </w:r>
      <w:r>
        <w:rPr>
          <w:rFonts w:hint="eastAsia" w:ascii="Times New Roman" w:hAnsi="Times New Roman" w:eastAsia="宋体" w:cs="Times New Roman"/>
          <w:color w:val="auto"/>
          <w:kern w:val="2"/>
          <w:sz w:val="24"/>
          <w:szCs w:val="24"/>
          <w:highlight w:val="none"/>
          <w:lang w:val="en-US" w:eastAsia="zh-CN" w:bidi="ar-SA"/>
        </w:rPr>
        <w:instrText xml:space="preserve"> HYPERLINK "https://std.samr.gov.cn/gb/search/gbDetailed?id=D4BEFFF4EAC0B241E05397BE0A0AF581" \t "https://std.samr.gov.cn/search/_blank" </w:instrText>
      </w:r>
      <w:r>
        <w:rPr>
          <w:rFonts w:hint="eastAsia" w:ascii="Times New Roman" w:hAnsi="Times New Roman" w:eastAsia="宋体" w:cs="Times New Roman"/>
          <w:color w:val="auto"/>
          <w:kern w:val="2"/>
          <w:sz w:val="24"/>
          <w:szCs w:val="24"/>
          <w:highlight w:val="none"/>
          <w:lang w:val="en-US" w:eastAsia="zh-CN" w:bidi="ar-SA"/>
        </w:rPr>
        <w:fldChar w:fldCharType="separate"/>
      </w:r>
      <w:r>
        <w:rPr>
          <w:rFonts w:hint="default" w:ascii="Times New Roman" w:hAnsi="Times New Roman" w:eastAsia="宋体" w:cs="Times New Roman"/>
          <w:color w:val="auto"/>
          <w:kern w:val="2"/>
          <w:sz w:val="24"/>
          <w:szCs w:val="24"/>
          <w:highlight w:val="none"/>
          <w:lang w:val="en-US" w:eastAsia="zh-CN" w:bidi="ar-SA"/>
        </w:rPr>
        <w:t>GB/T 18691.1-2021  农业灌溉设备 灌溉阀 第1部分：通用要求</w:t>
      </w:r>
      <w:r>
        <w:rPr>
          <w:rFonts w:hint="default" w:ascii="Times New Roman" w:hAnsi="Times New Roman" w:eastAsia="宋体" w:cs="Times New Roman"/>
          <w:color w:val="auto"/>
          <w:kern w:val="2"/>
          <w:sz w:val="24"/>
          <w:szCs w:val="24"/>
          <w:highlight w:val="none"/>
          <w:lang w:val="en-US" w:eastAsia="zh-CN" w:bidi="ar-SA"/>
        </w:rPr>
        <w:fldChar w:fldCharType="end"/>
      </w:r>
    </w:p>
    <w:p w14:paraId="5FA929C5">
      <w:pPr>
        <w:widowControl w:val="0"/>
        <w:numPr>
          <w:ilvl w:val="0"/>
          <w:numId w:val="0"/>
        </w:numPr>
        <w:spacing w:line="360" w:lineRule="auto"/>
        <w:jc w:val="left"/>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fldChar w:fldCharType="begin"/>
      </w:r>
      <w:r>
        <w:rPr>
          <w:rFonts w:hint="eastAsia" w:ascii="Times New Roman" w:hAnsi="Times New Roman" w:eastAsia="宋体" w:cs="Times New Roman"/>
          <w:color w:val="auto"/>
          <w:kern w:val="2"/>
          <w:sz w:val="24"/>
          <w:szCs w:val="24"/>
          <w:highlight w:val="none"/>
          <w:lang w:val="en-US" w:eastAsia="zh-CN" w:bidi="ar-SA"/>
        </w:rPr>
        <w:instrText xml:space="preserve"> HYPERLINK "https://std.samr.gov.cn/gb/search/gbDetailed?id=D4BEFFF4EAC1B241E05397BE0A0AF581" \t "https://std.samr.gov.cn/search/_blank" </w:instrText>
      </w:r>
      <w:r>
        <w:rPr>
          <w:rFonts w:hint="eastAsia" w:ascii="Times New Roman" w:hAnsi="Times New Roman" w:eastAsia="宋体" w:cs="Times New Roman"/>
          <w:color w:val="auto"/>
          <w:kern w:val="2"/>
          <w:sz w:val="24"/>
          <w:szCs w:val="24"/>
          <w:highlight w:val="none"/>
          <w:lang w:val="en-US" w:eastAsia="zh-CN" w:bidi="ar-SA"/>
        </w:rPr>
        <w:fldChar w:fldCharType="separate"/>
      </w:r>
      <w:r>
        <w:rPr>
          <w:rFonts w:hint="default" w:ascii="Times New Roman" w:hAnsi="Times New Roman" w:eastAsia="宋体" w:cs="Times New Roman"/>
          <w:color w:val="auto"/>
          <w:kern w:val="2"/>
          <w:sz w:val="24"/>
          <w:szCs w:val="24"/>
          <w:highlight w:val="none"/>
          <w:lang w:val="en-US" w:eastAsia="zh-CN" w:bidi="ar-SA"/>
        </w:rPr>
        <w:t>GB/T 18691.2-2021  农业灌溉设备 灌溉阀 第2部分：隔离阀</w:t>
      </w:r>
      <w:r>
        <w:rPr>
          <w:rFonts w:hint="default" w:ascii="Times New Roman" w:hAnsi="Times New Roman" w:eastAsia="宋体" w:cs="Times New Roman"/>
          <w:color w:val="auto"/>
          <w:kern w:val="2"/>
          <w:sz w:val="24"/>
          <w:szCs w:val="24"/>
          <w:highlight w:val="none"/>
          <w:lang w:val="en-US" w:eastAsia="zh-CN" w:bidi="ar-SA"/>
        </w:rPr>
        <w:fldChar w:fldCharType="end"/>
      </w:r>
    </w:p>
    <w:p w14:paraId="57AD2A68">
      <w:pPr>
        <w:widowControl w:val="0"/>
        <w:numPr>
          <w:ilvl w:val="0"/>
          <w:numId w:val="0"/>
        </w:numPr>
        <w:spacing w:line="360" w:lineRule="auto"/>
        <w:jc w:val="left"/>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fldChar w:fldCharType="begin"/>
      </w:r>
      <w:r>
        <w:rPr>
          <w:rFonts w:hint="eastAsia" w:ascii="Times New Roman" w:hAnsi="Times New Roman" w:eastAsia="宋体" w:cs="Times New Roman"/>
          <w:color w:val="auto"/>
          <w:kern w:val="2"/>
          <w:sz w:val="24"/>
          <w:szCs w:val="24"/>
          <w:highlight w:val="none"/>
          <w:lang w:val="en-US" w:eastAsia="zh-CN" w:bidi="ar-SA"/>
        </w:rPr>
        <w:instrText xml:space="preserve"> HYPERLINK "https://std.samr.gov.cn/gb/search/gbDetailed?id=D4BEFFF4EAC2B241E05397BE0A0AF581" \t "https://std.samr.gov.cn/search/_blank" </w:instrText>
      </w:r>
      <w:r>
        <w:rPr>
          <w:rFonts w:hint="eastAsia" w:ascii="Times New Roman" w:hAnsi="Times New Roman" w:eastAsia="宋体" w:cs="Times New Roman"/>
          <w:color w:val="auto"/>
          <w:kern w:val="2"/>
          <w:sz w:val="24"/>
          <w:szCs w:val="24"/>
          <w:highlight w:val="none"/>
          <w:lang w:val="en-US" w:eastAsia="zh-CN" w:bidi="ar-SA"/>
        </w:rPr>
        <w:fldChar w:fldCharType="separate"/>
      </w:r>
      <w:r>
        <w:rPr>
          <w:rFonts w:hint="default" w:ascii="Times New Roman" w:hAnsi="Times New Roman" w:eastAsia="宋体" w:cs="Times New Roman"/>
          <w:color w:val="auto"/>
          <w:kern w:val="2"/>
          <w:sz w:val="24"/>
          <w:szCs w:val="24"/>
          <w:highlight w:val="none"/>
          <w:lang w:val="en-US" w:eastAsia="zh-CN" w:bidi="ar-SA"/>
        </w:rPr>
        <w:t>GB/T 18691.3-2021  农业灌溉设备 灌溉阀 第3部分：止回阀</w:t>
      </w:r>
      <w:r>
        <w:rPr>
          <w:rFonts w:hint="default" w:ascii="Times New Roman" w:hAnsi="Times New Roman" w:eastAsia="宋体" w:cs="Times New Roman"/>
          <w:color w:val="auto"/>
          <w:kern w:val="2"/>
          <w:sz w:val="24"/>
          <w:szCs w:val="24"/>
          <w:highlight w:val="none"/>
          <w:lang w:val="en-US" w:eastAsia="zh-CN" w:bidi="ar-SA"/>
        </w:rPr>
        <w:fldChar w:fldCharType="end"/>
      </w:r>
    </w:p>
    <w:p w14:paraId="78B330D0">
      <w:pPr>
        <w:widowControl w:val="0"/>
        <w:numPr>
          <w:ilvl w:val="0"/>
          <w:numId w:val="0"/>
        </w:numPr>
        <w:spacing w:line="360" w:lineRule="auto"/>
        <w:jc w:val="left"/>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fldChar w:fldCharType="begin"/>
      </w:r>
      <w:r>
        <w:rPr>
          <w:rFonts w:hint="eastAsia" w:ascii="Times New Roman" w:hAnsi="Times New Roman" w:eastAsia="宋体" w:cs="Times New Roman"/>
          <w:color w:val="auto"/>
          <w:kern w:val="2"/>
          <w:sz w:val="24"/>
          <w:szCs w:val="24"/>
          <w:highlight w:val="none"/>
          <w:lang w:val="en-US" w:eastAsia="zh-CN" w:bidi="ar-SA"/>
        </w:rPr>
        <w:instrText xml:space="preserve"> HYPERLINK "https://std.samr.gov.cn/gb/search/gbDetailed?id=D4BEFFF4EABDB241E05397BE0A0AF581" \t "https://std.samr.gov.cn/search/_blank" </w:instrText>
      </w:r>
      <w:r>
        <w:rPr>
          <w:rFonts w:hint="eastAsia" w:ascii="Times New Roman" w:hAnsi="Times New Roman" w:eastAsia="宋体" w:cs="Times New Roman"/>
          <w:color w:val="auto"/>
          <w:kern w:val="2"/>
          <w:sz w:val="24"/>
          <w:szCs w:val="24"/>
          <w:highlight w:val="none"/>
          <w:lang w:val="en-US" w:eastAsia="zh-CN" w:bidi="ar-SA"/>
        </w:rPr>
        <w:fldChar w:fldCharType="separate"/>
      </w:r>
      <w:r>
        <w:rPr>
          <w:rFonts w:hint="default" w:ascii="Times New Roman" w:hAnsi="Times New Roman" w:eastAsia="宋体" w:cs="Times New Roman"/>
          <w:color w:val="auto"/>
          <w:kern w:val="2"/>
          <w:sz w:val="24"/>
          <w:szCs w:val="24"/>
          <w:highlight w:val="none"/>
          <w:lang w:val="en-US" w:eastAsia="zh-CN" w:bidi="ar-SA"/>
        </w:rPr>
        <w:t>GB/T 18691.4-2021  农业灌溉设备 灌溉阀 第4部分：进排气阀</w:t>
      </w:r>
      <w:r>
        <w:rPr>
          <w:rFonts w:hint="default" w:ascii="Times New Roman" w:hAnsi="Times New Roman" w:eastAsia="宋体" w:cs="Times New Roman"/>
          <w:color w:val="auto"/>
          <w:kern w:val="2"/>
          <w:sz w:val="24"/>
          <w:szCs w:val="24"/>
          <w:highlight w:val="none"/>
          <w:lang w:val="en-US" w:eastAsia="zh-CN" w:bidi="ar-SA"/>
        </w:rPr>
        <w:fldChar w:fldCharType="end"/>
      </w:r>
    </w:p>
    <w:p w14:paraId="4FABBCDB">
      <w:pPr>
        <w:widowControl w:val="0"/>
        <w:numPr>
          <w:ilvl w:val="0"/>
          <w:numId w:val="0"/>
        </w:numPr>
        <w:spacing w:line="360" w:lineRule="auto"/>
        <w:jc w:val="left"/>
        <w:rPr>
          <w:rFonts w:hint="eastAsia"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fldChar w:fldCharType="begin"/>
      </w:r>
      <w:r>
        <w:rPr>
          <w:rFonts w:hint="default" w:ascii="Times New Roman" w:hAnsi="Times New Roman" w:eastAsia="宋体" w:cs="Times New Roman"/>
          <w:color w:val="auto"/>
          <w:kern w:val="2"/>
          <w:sz w:val="24"/>
          <w:szCs w:val="24"/>
          <w:highlight w:val="none"/>
          <w:lang w:val="en-US" w:eastAsia="zh-CN" w:bidi="ar-SA"/>
        </w:rPr>
        <w:instrText xml:space="preserve"> HYPERLINK "https://std.samr.gov.cn/gb/search/gbDetailed?id=D4BEFFF4EABEB241E05397BE0A0AF581" \t "https://std.samr.gov.cn/search/_blank" </w:instrText>
      </w:r>
      <w:r>
        <w:rPr>
          <w:rFonts w:hint="default" w:ascii="Times New Roman" w:hAnsi="Times New Roman" w:eastAsia="宋体" w:cs="Times New Roman"/>
          <w:color w:val="auto"/>
          <w:kern w:val="2"/>
          <w:sz w:val="24"/>
          <w:szCs w:val="24"/>
          <w:highlight w:val="none"/>
          <w:lang w:val="en-US" w:eastAsia="zh-CN" w:bidi="ar-SA"/>
        </w:rPr>
        <w:fldChar w:fldCharType="separate"/>
      </w:r>
      <w:r>
        <w:rPr>
          <w:rFonts w:hint="default" w:ascii="Times New Roman" w:hAnsi="Times New Roman" w:eastAsia="宋体" w:cs="Times New Roman"/>
          <w:color w:val="auto"/>
          <w:kern w:val="2"/>
          <w:sz w:val="24"/>
          <w:szCs w:val="24"/>
          <w:highlight w:val="none"/>
          <w:lang w:val="en-US" w:eastAsia="zh-CN" w:bidi="ar-SA"/>
        </w:rPr>
        <w:t>GB/T 18691.5-2021  农业灌溉设备 灌溉阀 第5部分：控制阀</w:t>
      </w:r>
      <w:r>
        <w:rPr>
          <w:rFonts w:hint="default" w:ascii="Times New Roman" w:hAnsi="Times New Roman" w:eastAsia="宋体" w:cs="Times New Roman"/>
          <w:color w:val="auto"/>
          <w:kern w:val="2"/>
          <w:sz w:val="24"/>
          <w:szCs w:val="24"/>
          <w:highlight w:val="none"/>
          <w:lang w:val="en-US" w:eastAsia="zh-CN" w:bidi="ar-SA"/>
        </w:rPr>
        <w:fldChar w:fldCharType="end"/>
      </w:r>
    </w:p>
    <w:p w14:paraId="32EC5F23">
      <w:pPr>
        <w:widowControl w:val="0"/>
        <w:numPr>
          <w:ilvl w:val="0"/>
          <w:numId w:val="0"/>
        </w:numPr>
        <w:spacing w:line="360" w:lineRule="auto"/>
        <w:jc w:val="left"/>
        <w:rPr>
          <w:rFonts w:hint="eastAsia"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fldChar w:fldCharType="begin"/>
      </w:r>
      <w:r>
        <w:rPr>
          <w:rFonts w:hint="default" w:ascii="Times New Roman" w:hAnsi="Times New Roman" w:eastAsia="宋体" w:cs="Times New Roman"/>
          <w:color w:val="auto"/>
          <w:kern w:val="2"/>
          <w:sz w:val="24"/>
          <w:szCs w:val="24"/>
          <w:highlight w:val="none"/>
          <w:lang w:val="en-US" w:eastAsia="zh-CN" w:bidi="ar-SA"/>
        </w:rPr>
        <w:instrText xml:space="preserve"> HYPERLINK "https://std.samr.gov.cn/gb/search/gbDetailed?id=71F772D79861D3A7E05397BE0A0AB82A" \t "https://std.samr.gov.cn/search/_blank" </w:instrText>
      </w:r>
      <w:r>
        <w:rPr>
          <w:rFonts w:hint="default" w:ascii="Times New Roman" w:hAnsi="Times New Roman" w:eastAsia="宋体" w:cs="Times New Roman"/>
          <w:color w:val="auto"/>
          <w:kern w:val="2"/>
          <w:sz w:val="24"/>
          <w:szCs w:val="24"/>
          <w:highlight w:val="none"/>
          <w:lang w:val="en-US" w:eastAsia="zh-CN" w:bidi="ar-SA"/>
        </w:rPr>
        <w:fldChar w:fldCharType="separate"/>
      </w:r>
      <w:r>
        <w:rPr>
          <w:rFonts w:hint="default" w:ascii="Times New Roman" w:hAnsi="Times New Roman" w:eastAsia="宋体" w:cs="Times New Roman"/>
          <w:color w:val="auto"/>
          <w:kern w:val="2"/>
          <w:sz w:val="24"/>
          <w:szCs w:val="24"/>
          <w:highlight w:val="none"/>
          <w:lang w:val="en-US" w:eastAsia="zh-CN" w:bidi="ar-SA"/>
        </w:rPr>
        <w:t>GB/T 18025-2000  农业灌溉设备 电动或电控灌溉机械的电气设备和布线</w:t>
      </w:r>
      <w:r>
        <w:rPr>
          <w:rFonts w:hint="default" w:ascii="Times New Roman" w:hAnsi="Times New Roman" w:eastAsia="宋体" w:cs="Times New Roman"/>
          <w:color w:val="auto"/>
          <w:kern w:val="2"/>
          <w:sz w:val="24"/>
          <w:szCs w:val="24"/>
          <w:highlight w:val="none"/>
          <w:lang w:val="en-US" w:eastAsia="zh-CN" w:bidi="ar-SA"/>
        </w:rPr>
        <w:fldChar w:fldCharType="end"/>
      </w:r>
    </w:p>
    <w:p w14:paraId="0B36384F">
      <w:pPr>
        <w:widowControl w:val="0"/>
        <w:numPr>
          <w:ilvl w:val="0"/>
          <w:numId w:val="0"/>
        </w:numPr>
        <w:spacing w:line="360" w:lineRule="auto"/>
        <w:jc w:val="left"/>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fldChar w:fldCharType="begin"/>
      </w:r>
      <w:r>
        <w:rPr>
          <w:rFonts w:hint="eastAsia" w:ascii="Times New Roman" w:hAnsi="Times New Roman" w:eastAsia="宋体" w:cs="Times New Roman"/>
          <w:color w:val="auto"/>
          <w:kern w:val="2"/>
          <w:sz w:val="24"/>
          <w:szCs w:val="24"/>
          <w:highlight w:val="none"/>
          <w:lang w:val="en-US" w:eastAsia="zh-CN" w:bidi="ar-SA"/>
        </w:rPr>
        <w:instrText xml:space="preserve"> HYPERLINK "https://std.samr.gov.cn/gb/search/gbDetailed?id=71F772D82589D3A7E05397BE0A0AB82A" \t "https://std.samr.gov.cn/search/_blank" </w:instrText>
      </w:r>
      <w:r>
        <w:rPr>
          <w:rFonts w:hint="eastAsia" w:ascii="Times New Roman" w:hAnsi="Times New Roman" w:eastAsia="宋体" w:cs="Times New Roman"/>
          <w:color w:val="auto"/>
          <w:kern w:val="2"/>
          <w:sz w:val="24"/>
          <w:szCs w:val="24"/>
          <w:highlight w:val="none"/>
          <w:lang w:val="en-US" w:eastAsia="zh-CN" w:bidi="ar-SA"/>
        </w:rPr>
        <w:fldChar w:fldCharType="separate"/>
      </w:r>
      <w:r>
        <w:rPr>
          <w:rFonts w:hint="default" w:ascii="Times New Roman" w:hAnsi="Times New Roman" w:eastAsia="宋体" w:cs="Times New Roman"/>
          <w:color w:val="auto"/>
          <w:kern w:val="2"/>
          <w:sz w:val="24"/>
          <w:szCs w:val="24"/>
          <w:highlight w:val="none"/>
          <w:lang w:val="en-US" w:eastAsia="zh-CN" w:bidi="ar-SA"/>
        </w:rPr>
        <w:t>GB/T 19812.1-2017  塑料节水灌溉器材 第1部分：单翼迷宫式滴灌带</w:t>
      </w:r>
      <w:r>
        <w:rPr>
          <w:rFonts w:hint="default" w:ascii="Times New Roman" w:hAnsi="Times New Roman" w:eastAsia="宋体" w:cs="Times New Roman"/>
          <w:color w:val="auto"/>
          <w:kern w:val="2"/>
          <w:sz w:val="24"/>
          <w:szCs w:val="24"/>
          <w:highlight w:val="none"/>
          <w:lang w:val="en-US" w:eastAsia="zh-CN" w:bidi="ar-SA"/>
        </w:rPr>
        <w:fldChar w:fldCharType="end"/>
      </w:r>
    </w:p>
    <w:p w14:paraId="31C47B61">
      <w:pPr>
        <w:widowControl w:val="0"/>
        <w:numPr>
          <w:ilvl w:val="0"/>
          <w:numId w:val="0"/>
        </w:numPr>
        <w:spacing w:line="360" w:lineRule="auto"/>
        <w:jc w:val="left"/>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GB/T 19812.2-2017  塑料节水灌溉器材 第2部分：压力补偿式滴头及滴灌管</w:t>
      </w:r>
    </w:p>
    <w:p w14:paraId="47757002">
      <w:pPr>
        <w:widowControl w:val="0"/>
        <w:numPr>
          <w:ilvl w:val="0"/>
          <w:numId w:val="0"/>
        </w:numPr>
        <w:spacing w:line="360" w:lineRule="auto"/>
        <w:jc w:val="left"/>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GB/T 19812.3-2017  塑料节水灌溉器材 第3部分：内镶式滴灌管及滴灌带</w:t>
      </w:r>
    </w:p>
    <w:p w14:paraId="01382244">
      <w:pPr>
        <w:widowControl w:val="0"/>
        <w:numPr>
          <w:ilvl w:val="0"/>
          <w:numId w:val="0"/>
        </w:numPr>
        <w:spacing w:line="360" w:lineRule="auto"/>
        <w:jc w:val="left"/>
        <w:rPr>
          <w:rFonts w:hint="eastAsia"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fldChar w:fldCharType="begin"/>
      </w:r>
      <w:r>
        <w:rPr>
          <w:rFonts w:hint="default" w:ascii="Times New Roman" w:hAnsi="Times New Roman" w:eastAsia="宋体" w:cs="Times New Roman"/>
          <w:color w:val="auto"/>
          <w:kern w:val="2"/>
          <w:sz w:val="24"/>
          <w:szCs w:val="24"/>
          <w:highlight w:val="none"/>
          <w:lang w:val="en-US" w:eastAsia="zh-CN" w:bidi="ar-SA"/>
        </w:rPr>
        <w:instrText xml:space="preserve"> HYPERLINK "https://std.samr.gov.cn/gb/search/gbDetailed?id=7E2903B0D60D5A63E05397BE0A0AF660" \t "https://std.samr.gov.cn/search/_blank" </w:instrText>
      </w:r>
      <w:r>
        <w:rPr>
          <w:rFonts w:hint="default" w:ascii="Times New Roman" w:hAnsi="Times New Roman" w:eastAsia="宋体" w:cs="Times New Roman"/>
          <w:color w:val="auto"/>
          <w:kern w:val="2"/>
          <w:sz w:val="24"/>
          <w:szCs w:val="24"/>
          <w:highlight w:val="none"/>
          <w:lang w:val="en-US" w:eastAsia="zh-CN" w:bidi="ar-SA"/>
        </w:rPr>
        <w:fldChar w:fldCharType="separate"/>
      </w:r>
      <w:r>
        <w:rPr>
          <w:rFonts w:hint="default" w:ascii="Times New Roman" w:hAnsi="Times New Roman" w:eastAsia="宋体" w:cs="Times New Roman"/>
          <w:color w:val="auto"/>
          <w:kern w:val="2"/>
          <w:sz w:val="24"/>
          <w:szCs w:val="24"/>
          <w:highlight w:val="none"/>
          <w:lang w:val="en-US" w:eastAsia="zh-CN" w:bidi="ar-SA"/>
        </w:rPr>
        <w:t>GB/T 19812.4-2018  塑料节水灌溉器材 第4部分: 聚乙烯（PE）软管</w:t>
      </w:r>
      <w:r>
        <w:rPr>
          <w:rFonts w:hint="default" w:ascii="Times New Roman" w:hAnsi="Times New Roman" w:eastAsia="宋体" w:cs="Times New Roman"/>
          <w:color w:val="auto"/>
          <w:kern w:val="2"/>
          <w:sz w:val="24"/>
          <w:szCs w:val="24"/>
          <w:highlight w:val="none"/>
          <w:lang w:val="en-US" w:eastAsia="zh-CN" w:bidi="ar-SA"/>
        </w:rPr>
        <w:fldChar w:fldCharType="end"/>
      </w:r>
    </w:p>
    <w:p w14:paraId="0692D8E9">
      <w:pPr>
        <w:widowControl w:val="0"/>
        <w:numPr>
          <w:ilvl w:val="0"/>
          <w:numId w:val="0"/>
        </w:numPr>
        <w:spacing w:line="360" w:lineRule="auto"/>
        <w:jc w:val="left"/>
        <w:rPr>
          <w:rFonts w:hint="eastAsia" w:ascii="Times New Roman" w:hAnsi="Times New Roman" w:eastAsia="宋体" w:cs="Times New Roman"/>
          <w:color w:val="auto"/>
          <w:kern w:val="2"/>
          <w:sz w:val="24"/>
          <w:szCs w:val="24"/>
          <w:highlight w:val="none"/>
          <w:lang w:val="en-US" w:eastAsia="zh-CN" w:bidi="ar-SA"/>
        </w:rPr>
      </w:pPr>
      <w:r>
        <w:rPr>
          <w:rFonts w:hint="default" w:ascii="Times New Roman" w:hAnsi="Times New Roman" w:eastAsia="宋体" w:cs="Times New Roman"/>
          <w:color w:val="auto"/>
          <w:kern w:val="2"/>
          <w:sz w:val="24"/>
          <w:szCs w:val="24"/>
          <w:highlight w:val="none"/>
          <w:lang w:val="en-US" w:eastAsia="zh-CN" w:bidi="ar-SA"/>
        </w:rPr>
        <w:fldChar w:fldCharType="begin"/>
      </w:r>
      <w:r>
        <w:rPr>
          <w:rFonts w:hint="default" w:ascii="Times New Roman" w:hAnsi="Times New Roman" w:eastAsia="宋体" w:cs="Times New Roman"/>
          <w:color w:val="auto"/>
          <w:kern w:val="2"/>
          <w:sz w:val="24"/>
          <w:szCs w:val="24"/>
          <w:highlight w:val="none"/>
          <w:lang w:val="en-US" w:eastAsia="zh-CN" w:bidi="ar-SA"/>
        </w:rPr>
        <w:instrText xml:space="preserve"> HYPERLINK "https://std.samr.gov.cn/gb/search/gbDetailed?id=91890A0DA53F80C6E05397BE0A0A065D" \t "https://std.samr.gov.cn/search/_blank" </w:instrText>
      </w:r>
      <w:r>
        <w:rPr>
          <w:rFonts w:hint="default" w:ascii="Times New Roman" w:hAnsi="Times New Roman" w:eastAsia="宋体" w:cs="Times New Roman"/>
          <w:color w:val="auto"/>
          <w:kern w:val="2"/>
          <w:sz w:val="24"/>
          <w:szCs w:val="24"/>
          <w:highlight w:val="none"/>
          <w:lang w:val="en-US" w:eastAsia="zh-CN" w:bidi="ar-SA"/>
        </w:rPr>
        <w:fldChar w:fldCharType="separate"/>
      </w:r>
      <w:r>
        <w:rPr>
          <w:rFonts w:hint="default" w:ascii="Times New Roman" w:hAnsi="Times New Roman" w:eastAsia="宋体" w:cs="Times New Roman"/>
          <w:color w:val="auto"/>
          <w:kern w:val="2"/>
          <w:sz w:val="24"/>
          <w:szCs w:val="24"/>
          <w:highlight w:val="none"/>
          <w:lang w:val="en-US" w:eastAsia="zh-CN" w:bidi="ar-SA"/>
        </w:rPr>
        <w:t>GB/T 19812.5-2019  塑料节水灌溉器材 第5部分：地埋式滴灌管</w:t>
      </w:r>
      <w:r>
        <w:rPr>
          <w:rFonts w:hint="default" w:ascii="Times New Roman" w:hAnsi="Times New Roman" w:eastAsia="宋体" w:cs="Times New Roman"/>
          <w:color w:val="auto"/>
          <w:kern w:val="2"/>
          <w:sz w:val="24"/>
          <w:szCs w:val="24"/>
          <w:highlight w:val="none"/>
          <w:lang w:val="en-US" w:eastAsia="zh-CN" w:bidi="ar-SA"/>
        </w:rPr>
        <w:fldChar w:fldCharType="end"/>
      </w:r>
    </w:p>
    <w:p w14:paraId="5D7988E6">
      <w:pPr>
        <w:widowControl w:val="0"/>
        <w:numPr>
          <w:ilvl w:val="0"/>
          <w:numId w:val="0"/>
        </w:numPr>
        <w:spacing w:line="360" w:lineRule="auto"/>
        <w:jc w:val="left"/>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GB/T 19812.6-2022 塑料节水灌溉器材 第6部分：输水用聚乙烯（PE）管材</w:t>
      </w:r>
    </w:p>
    <w:p w14:paraId="35346D00">
      <w:pPr>
        <w:widowControl w:val="0"/>
        <w:numPr>
          <w:ilvl w:val="0"/>
          <w:numId w:val="0"/>
        </w:numPr>
        <w:spacing w:line="360" w:lineRule="auto"/>
        <w:jc w:val="left"/>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fldChar w:fldCharType="begin"/>
      </w:r>
      <w:r>
        <w:rPr>
          <w:rFonts w:hint="eastAsia" w:ascii="Times New Roman" w:hAnsi="Times New Roman" w:eastAsia="宋体" w:cs="Times New Roman"/>
          <w:color w:val="auto"/>
          <w:kern w:val="2"/>
          <w:sz w:val="24"/>
          <w:szCs w:val="24"/>
          <w:highlight w:val="none"/>
          <w:lang w:val="en-US" w:eastAsia="zh-CN" w:bidi="ar-SA"/>
        </w:rPr>
        <w:instrText xml:space="preserve"> HYPERLINK "https://std.samr.gov.cn/gb/search/gbDetailed?id=14156507D1840337E06397BE0A0AE656" \t "https://std.samr.gov.cn/search/_blank" </w:instrText>
      </w:r>
      <w:r>
        <w:rPr>
          <w:rFonts w:hint="eastAsia" w:ascii="Times New Roman" w:hAnsi="Times New Roman" w:eastAsia="宋体" w:cs="Times New Roman"/>
          <w:color w:val="auto"/>
          <w:kern w:val="2"/>
          <w:sz w:val="24"/>
          <w:szCs w:val="24"/>
          <w:highlight w:val="none"/>
          <w:lang w:val="en-US" w:eastAsia="zh-CN" w:bidi="ar-SA"/>
        </w:rPr>
        <w:fldChar w:fldCharType="separate"/>
      </w:r>
      <w:r>
        <w:rPr>
          <w:rFonts w:hint="default" w:ascii="Times New Roman" w:hAnsi="Times New Roman" w:eastAsia="宋体" w:cs="Times New Roman"/>
          <w:color w:val="auto"/>
          <w:kern w:val="2"/>
          <w:sz w:val="24"/>
          <w:szCs w:val="24"/>
          <w:highlight w:val="none"/>
          <w:lang w:val="en-US" w:eastAsia="zh-CN" w:bidi="ar-SA"/>
        </w:rPr>
        <w:t>GB/T 19812.7-2024  塑料节水灌溉器材 第7部分：微灌用塑料阀门</w:t>
      </w:r>
      <w:r>
        <w:rPr>
          <w:rFonts w:hint="default" w:ascii="Times New Roman" w:hAnsi="Times New Roman" w:eastAsia="宋体" w:cs="Times New Roman"/>
          <w:color w:val="auto"/>
          <w:kern w:val="2"/>
          <w:sz w:val="24"/>
          <w:szCs w:val="24"/>
          <w:highlight w:val="none"/>
          <w:lang w:val="en-US" w:eastAsia="zh-CN" w:bidi="ar-SA"/>
        </w:rPr>
        <w:fldChar w:fldCharType="end"/>
      </w:r>
    </w:p>
    <w:p w14:paraId="3ACB02DB">
      <w:pPr>
        <w:keepNext/>
        <w:keepLines/>
        <w:widowControl w:val="0"/>
        <w:spacing w:line="360" w:lineRule="auto"/>
        <w:jc w:val="left"/>
        <w:outlineLvl w:val="1"/>
        <w:rPr>
          <w:rFonts w:ascii="Cambria" w:hAnsi="Cambria" w:eastAsia="宋体" w:cs="Times New Roman"/>
          <w:b/>
          <w:bCs/>
          <w:color w:val="auto"/>
          <w:kern w:val="2"/>
          <w:sz w:val="28"/>
          <w:szCs w:val="32"/>
          <w:highlight w:val="none"/>
          <w:lang w:val="en-US" w:eastAsia="zh-CN" w:bidi="ar-SA"/>
        </w:rPr>
      </w:pPr>
      <w:r>
        <w:rPr>
          <w:rFonts w:hint="eastAsia" w:ascii="Cambria" w:hAnsi="Cambria" w:eastAsia="宋体" w:cs="Times New Roman"/>
          <w:b/>
          <w:bCs/>
          <w:color w:val="auto"/>
          <w:kern w:val="2"/>
          <w:sz w:val="28"/>
          <w:szCs w:val="32"/>
          <w:highlight w:val="none"/>
          <w:lang w:val="en-US" w:eastAsia="zh-CN" w:bidi="ar-SA"/>
        </w:rPr>
        <w:t>三、基本技术要求</w:t>
      </w:r>
    </w:p>
    <w:p w14:paraId="5DE0CB88">
      <w:pPr>
        <w:widowControl w:val="0"/>
        <w:numPr>
          <w:ilvl w:val="0"/>
          <w:numId w:val="0"/>
        </w:numPr>
        <w:spacing w:line="360" w:lineRule="auto"/>
        <w:ind w:leftChars="0" w:firstLine="482" w:firstLineChars="200"/>
        <w:jc w:val="both"/>
        <w:rPr>
          <w:rFonts w:ascii="宋体" w:hAnsi="宋体" w:eastAsia="宋体" w:cs="Times New Roman"/>
          <w:b/>
          <w:color w:val="auto"/>
          <w:kern w:val="2"/>
          <w:sz w:val="24"/>
          <w:szCs w:val="24"/>
          <w:highlight w:val="none"/>
          <w:lang w:val="en-US" w:eastAsia="zh-CN" w:bidi="ar-SA"/>
        </w:rPr>
      </w:pPr>
      <w:r>
        <w:rPr>
          <w:rFonts w:hint="eastAsia" w:ascii="宋体" w:hAnsi="宋体" w:eastAsia="宋体" w:cs="Times New Roman"/>
          <w:b/>
          <w:color w:val="auto"/>
          <w:kern w:val="2"/>
          <w:sz w:val="24"/>
          <w:szCs w:val="24"/>
          <w:highlight w:val="none"/>
          <w:lang w:val="en-US" w:eastAsia="zh-CN" w:bidi="ar-SA"/>
        </w:rPr>
        <w:t>1、</w:t>
      </w:r>
      <w:r>
        <w:rPr>
          <w:rFonts w:ascii="宋体" w:hAnsi="宋体" w:eastAsia="宋体" w:cs="Times New Roman"/>
          <w:b/>
          <w:color w:val="auto"/>
          <w:kern w:val="2"/>
          <w:sz w:val="24"/>
          <w:szCs w:val="24"/>
          <w:highlight w:val="none"/>
          <w:lang w:val="en-US" w:eastAsia="zh-CN" w:bidi="ar-SA"/>
        </w:rPr>
        <w:t>首部</w:t>
      </w:r>
      <w:r>
        <w:rPr>
          <w:rFonts w:hint="eastAsia" w:ascii="宋体" w:hAnsi="宋体" w:eastAsia="宋体" w:cs="Times New Roman"/>
          <w:b/>
          <w:color w:val="auto"/>
          <w:kern w:val="2"/>
          <w:sz w:val="24"/>
          <w:szCs w:val="24"/>
          <w:highlight w:val="none"/>
          <w:lang w:val="en-US" w:eastAsia="zh-CN" w:bidi="ar-SA"/>
        </w:rPr>
        <w:t>加压</w:t>
      </w:r>
      <w:r>
        <w:rPr>
          <w:rFonts w:ascii="宋体" w:hAnsi="宋体" w:eastAsia="宋体" w:cs="Times New Roman"/>
          <w:b/>
          <w:color w:val="auto"/>
          <w:kern w:val="2"/>
          <w:sz w:val="24"/>
          <w:szCs w:val="24"/>
          <w:highlight w:val="none"/>
          <w:lang w:val="en-US" w:eastAsia="zh-CN" w:bidi="ar-SA"/>
        </w:rPr>
        <w:t>系统</w:t>
      </w:r>
    </w:p>
    <w:p w14:paraId="0B94BE9C">
      <w:pPr>
        <w:spacing w:line="360" w:lineRule="auto"/>
        <w:ind w:firstLine="480" w:firstLineChars="200"/>
        <w:rPr>
          <w:rFonts w:ascii="宋体" w:hAnsi="宋体" w:eastAsia="宋体" w:cs="Times New Roman"/>
          <w:color w:val="auto"/>
          <w:sz w:val="24"/>
          <w:highlight w:val="none"/>
        </w:rPr>
      </w:pPr>
      <w:r>
        <w:rPr>
          <w:rFonts w:hint="eastAsia" w:ascii="宋体" w:hAnsi="宋体" w:eastAsia="宋体" w:cs="Times New Roman"/>
          <w:color w:val="auto"/>
          <w:sz w:val="24"/>
          <w:highlight w:val="none"/>
        </w:rPr>
        <w:t>首部加压依据水源不同采取不同的加压水泵。对于池塘，采用管道离心泵或者是潜水泵进行加压；对于水库等不易安装潜水泵的水源采用浮筒式水泵进行加压。</w:t>
      </w:r>
    </w:p>
    <w:p w14:paraId="40704EA9">
      <w:pPr>
        <w:spacing w:line="360" w:lineRule="auto"/>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首部所用的水泵控制方式依据水泵用途划分成工频控制和变频控制，灌溉水泵采用变频恒压控制，提水水泵采用工频控制。</w:t>
      </w:r>
    </w:p>
    <w:p w14:paraId="400F7BC2">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泵房自水塘的进水口须采用</w:t>
      </w:r>
      <w:r>
        <w:rPr>
          <w:rFonts w:hint="eastAsia" w:ascii="宋体" w:hAnsi="宋体" w:eastAsia="宋体" w:cs="Times New Roman"/>
          <w:color w:val="auto"/>
          <w:sz w:val="24"/>
          <w:highlight w:val="none"/>
        </w:rPr>
        <w:t>浮筒式</w:t>
      </w:r>
      <w:r>
        <w:rPr>
          <w:rFonts w:hint="eastAsia" w:ascii="宋体" w:hAnsi="宋体" w:eastAsia="宋体" w:cs="Times New Roman"/>
          <w:color w:val="auto"/>
          <w:sz w:val="24"/>
          <w:highlight w:val="none"/>
          <w:lang w:val="en-US" w:eastAsia="zh-CN"/>
        </w:rPr>
        <w:t>进水口，以保证进水水质。</w:t>
      </w:r>
    </w:p>
    <w:p w14:paraId="388E3C59">
      <w:pPr>
        <w:widowControl w:val="0"/>
        <w:numPr>
          <w:ilvl w:val="0"/>
          <w:numId w:val="0"/>
        </w:numPr>
        <w:spacing w:line="360" w:lineRule="auto"/>
        <w:ind w:leftChars="0" w:firstLine="482" w:firstLineChars="200"/>
        <w:jc w:val="both"/>
        <w:rPr>
          <w:rFonts w:ascii="宋体" w:hAnsi="宋体" w:eastAsia="宋体" w:cs="Times New Roman"/>
          <w:b/>
          <w:color w:val="auto"/>
          <w:kern w:val="2"/>
          <w:sz w:val="24"/>
          <w:szCs w:val="24"/>
          <w:highlight w:val="none"/>
          <w:lang w:val="en-US" w:eastAsia="zh-CN" w:bidi="ar-SA"/>
        </w:rPr>
      </w:pPr>
      <w:r>
        <w:rPr>
          <w:rFonts w:hint="eastAsia" w:ascii="宋体" w:hAnsi="宋体" w:eastAsia="宋体" w:cs="Times New Roman"/>
          <w:b/>
          <w:color w:val="auto"/>
          <w:kern w:val="2"/>
          <w:sz w:val="24"/>
          <w:szCs w:val="24"/>
          <w:highlight w:val="none"/>
          <w:lang w:val="en-US" w:eastAsia="zh-CN" w:bidi="ar-SA"/>
        </w:rPr>
        <w:t>2、过滤</w:t>
      </w:r>
      <w:r>
        <w:rPr>
          <w:rFonts w:ascii="宋体" w:hAnsi="宋体" w:eastAsia="宋体" w:cs="Times New Roman"/>
          <w:b/>
          <w:color w:val="auto"/>
          <w:kern w:val="2"/>
          <w:sz w:val="24"/>
          <w:szCs w:val="24"/>
          <w:highlight w:val="none"/>
          <w:lang w:val="en-US" w:eastAsia="zh-CN" w:bidi="ar-SA"/>
        </w:rPr>
        <w:t>系统</w:t>
      </w:r>
    </w:p>
    <w:p w14:paraId="01D2594C">
      <w:pPr>
        <w:spacing w:line="360" w:lineRule="auto"/>
        <w:ind w:firstLine="480" w:firstLineChars="200"/>
        <w:rPr>
          <w:rFonts w:ascii="宋体" w:hAnsi="宋体" w:eastAsia="宋体" w:cs="Times New Roman"/>
          <w:color w:val="auto"/>
          <w:sz w:val="24"/>
          <w:highlight w:val="none"/>
        </w:rPr>
      </w:pPr>
      <w:r>
        <w:rPr>
          <w:rFonts w:hint="eastAsia" w:ascii="宋体" w:hAnsi="宋体" w:eastAsia="宋体" w:cs="Times New Roman"/>
          <w:color w:val="auto"/>
          <w:sz w:val="24"/>
          <w:highlight w:val="none"/>
        </w:rPr>
        <w:t>为了防止因为水质的原因而堵塞灌水器，首部需配备过滤系统，</w:t>
      </w:r>
      <w:r>
        <w:rPr>
          <w:rFonts w:ascii="宋体" w:hAnsi="宋体" w:eastAsia="宋体" w:cs="Times New Roman"/>
          <w:color w:val="auto"/>
          <w:sz w:val="24"/>
          <w:highlight w:val="none"/>
        </w:rPr>
        <w:t>河水、水库水源</w:t>
      </w:r>
      <w:r>
        <w:rPr>
          <w:rFonts w:hint="eastAsia" w:ascii="宋体" w:hAnsi="宋体" w:eastAsia="宋体" w:cs="Times New Roman"/>
          <w:color w:val="auto"/>
          <w:sz w:val="24"/>
          <w:highlight w:val="none"/>
        </w:rPr>
        <w:t>统一</w:t>
      </w:r>
      <w:r>
        <w:rPr>
          <w:rFonts w:ascii="宋体" w:hAnsi="宋体" w:eastAsia="宋体" w:cs="Times New Roman"/>
          <w:color w:val="auto"/>
          <w:sz w:val="24"/>
          <w:highlight w:val="none"/>
        </w:rPr>
        <w:t>采用</w:t>
      </w:r>
      <w:r>
        <w:rPr>
          <w:rFonts w:hint="eastAsia" w:ascii="宋体" w:hAnsi="宋体" w:eastAsia="宋体" w:cs="Times New Roman"/>
          <w:color w:val="auto"/>
          <w:sz w:val="24"/>
          <w:highlight w:val="none"/>
        </w:rPr>
        <w:t>手动反冲洗</w:t>
      </w:r>
      <w:r>
        <w:rPr>
          <w:rFonts w:ascii="宋体" w:hAnsi="宋体" w:eastAsia="宋体" w:cs="Times New Roman"/>
          <w:color w:val="auto"/>
          <w:sz w:val="24"/>
          <w:highlight w:val="none"/>
        </w:rPr>
        <w:t>砂石过滤器</w:t>
      </w:r>
      <w:r>
        <w:rPr>
          <w:rFonts w:hint="eastAsia" w:ascii="宋体" w:hAnsi="宋体" w:eastAsia="宋体" w:cs="Times New Roman"/>
          <w:color w:val="auto"/>
          <w:sz w:val="24"/>
          <w:highlight w:val="none"/>
        </w:rPr>
        <w:t>和手动反冲洗</w:t>
      </w:r>
      <w:r>
        <w:rPr>
          <w:rFonts w:ascii="宋体" w:hAnsi="宋体" w:eastAsia="宋体" w:cs="Times New Roman"/>
          <w:color w:val="auto"/>
          <w:sz w:val="24"/>
          <w:highlight w:val="none"/>
        </w:rPr>
        <w:t>叠片过滤器，</w:t>
      </w:r>
      <w:r>
        <w:rPr>
          <w:rFonts w:hint="eastAsia" w:ascii="宋体" w:hAnsi="宋体" w:eastAsia="宋体" w:cs="Times New Roman"/>
          <w:color w:val="auto"/>
          <w:sz w:val="24"/>
          <w:highlight w:val="none"/>
        </w:rPr>
        <w:t>示范区</w:t>
      </w:r>
      <w:r>
        <w:rPr>
          <w:rFonts w:ascii="宋体" w:hAnsi="宋体" w:eastAsia="宋体" w:cs="Times New Roman"/>
          <w:color w:val="auto"/>
          <w:sz w:val="24"/>
          <w:highlight w:val="none"/>
        </w:rPr>
        <w:t>采用</w:t>
      </w:r>
      <w:r>
        <w:rPr>
          <w:rFonts w:hint="eastAsia" w:ascii="宋体" w:hAnsi="宋体" w:eastAsia="宋体" w:cs="Times New Roman"/>
          <w:color w:val="auto"/>
          <w:sz w:val="24"/>
          <w:highlight w:val="none"/>
        </w:rPr>
        <w:t>自动反冲洗</w:t>
      </w:r>
      <w:r>
        <w:rPr>
          <w:rFonts w:ascii="宋体" w:hAnsi="宋体" w:eastAsia="宋体" w:cs="Times New Roman"/>
          <w:color w:val="auto"/>
          <w:sz w:val="24"/>
          <w:highlight w:val="none"/>
        </w:rPr>
        <w:t>砂石过滤器</w:t>
      </w:r>
      <w:r>
        <w:rPr>
          <w:rFonts w:hint="eastAsia" w:ascii="宋体" w:hAnsi="宋体" w:eastAsia="宋体" w:cs="Times New Roman"/>
          <w:color w:val="auto"/>
          <w:sz w:val="24"/>
          <w:highlight w:val="none"/>
        </w:rPr>
        <w:t>和自动反冲洗</w:t>
      </w:r>
      <w:r>
        <w:rPr>
          <w:rFonts w:ascii="宋体" w:hAnsi="宋体" w:eastAsia="宋体" w:cs="Times New Roman"/>
          <w:color w:val="auto"/>
          <w:sz w:val="24"/>
          <w:highlight w:val="none"/>
        </w:rPr>
        <w:t>叠片过滤器</w:t>
      </w:r>
      <w:r>
        <w:rPr>
          <w:rFonts w:hint="eastAsia" w:ascii="宋体" w:hAnsi="宋体" w:eastAsia="宋体" w:cs="Times New Roman"/>
          <w:color w:val="auto"/>
          <w:sz w:val="24"/>
          <w:highlight w:val="none"/>
        </w:rPr>
        <w:t>。</w:t>
      </w:r>
    </w:p>
    <w:p w14:paraId="52ECE746">
      <w:pPr>
        <w:widowControl w:val="0"/>
        <w:numPr>
          <w:ilvl w:val="0"/>
          <w:numId w:val="0"/>
        </w:numPr>
        <w:spacing w:line="360" w:lineRule="auto"/>
        <w:ind w:leftChars="0" w:firstLine="482" w:firstLineChars="200"/>
        <w:jc w:val="both"/>
        <w:rPr>
          <w:rFonts w:ascii="宋体" w:hAnsi="宋体" w:eastAsia="宋体" w:cs="Times New Roman"/>
          <w:b/>
          <w:color w:val="auto"/>
          <w:kern w:val="2"/>
          <w:sz w:val="24"/>
          <w:szCs w:val="24"/>
          <w:highlight w:val="none"/>
          <w:lang w:val="en-US" w:eastAsia="zh-CN" w:bidi="ar-SA"/>
        </w:rPr>
      </w:pPr>
      <w:r>
        <w:rPr>
          <w:rFonts w:hint="eastAsia" w:ascii="宋体" w:hAnsi="宋体" w:eastAsia="宋体" w:cs="Times New Roman"/>
          <w:b/>
          <w:color w:val="auto"/>
          <w:kern w:val="2"/>
          <w:sz w:val="24"/>
          <w:szCs w:val="24"/>
          <w:highlight w:val="none"/>
          <w:lang w:val="en-US" w:eastAsia="zh-CN" w:bidi="ar-SA"/>
        </w:rPr>
        <w:t>3、</w:t>
      </w:r>
      <w:r>
        <w:rPr>
          <w:rFonts w:ascii="宋体" w:hAnsi="宋体" w:eastAsia="宋体" w:cs="Times New Roman"/>
          <w:b/>
          <w:color w:val="auto"/>
          <w:kern w:val="2"/>
          <w:sz w:val="24"/>
          <w:szCs w:val="24"/>
          <w:highlight w:val="none"/>
          <w:lang w:val="en-US" w:eastAsia="zh-CN" w:bidi="ar-SA"/>
        </w:rPr>
        <w:t>施肥系统</w:t>
      </w:r>
    </w:p>
    <w:p w14:paraId="144D56E5">
      <w:pPr>
        <w:spacing w:line="360" w:lineRule="auto"/>
        <w:ind w:firstLine="480" w:firstLineChars="2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eastAsia="zh-CN"/>
        </w:rPr>
        <w:t>施肥设备全部采用水肥一体机，带触屏控制，可设置施肥量，定时控制、定量控制。每台水肥一体机配套一个</w:t>
      </w:r>
      <w:r>
        <w:rPr>
          <w:rFonts w:hint="eastAsia" w:ascii="宋体" w:hAnsi="宋体" w:eastAsia="宋体" w:cs="Times New Roman"/>
          <w:color w:val="auto"/>
          <w:sz w:val="24"/>
          <w:highlight w:val="none"/>
          <w:lang w:val="en-US" w:eastAsia="zh-CN"/>
        </w:rPr>
        <w:t>1000L锥型底肥料桶，并安装搅拌机。示范区采用智能</w:t>
      </w:r>
      <w:r>
        <w:rPr>
          <w:rFonts w:hint="eastAsia" w:ascii="宋体" w:hAnsi="宋体" w:eastAsia="宋体" w:cs="Times New Roman"/>
          <w:color w:val="auto"/>
          <w:sz w:val="24"/>
          <w:highlight w:val="none"/>
          <w:lang w:eastAsia="zh-CN"/>
        </w:rPr>
        <w:t>水肥一体机。</w:t>
      </w:r>
    </w:p>
    <w:p w14:paraId="20037B4B">
      <w:pPr>
        <w:widowControl w:val="0"/>
        <w:numPr>
          <w:ilvl w:val="0"/>
          <w:numId w:val="0"/>
        </w:numPr>
        <w:spacing w:line="360" w:lineRule="auto"/>
        <w:ind w:leftChars="0" w:firstLine="482" w:firstLineChars="200"/>
        <w:jc w:val="both"/>
        <w:rPr>
          <w:rFonts w:ascii="宋体" w:hAnsi="宋体" w:eastAsia="宋体" w:cs="Times New Roman"/>
          <w:b/>
          <w:color w:val="auto"/>
          <w:kern w:val="2"/>
          <w:sz w:val="24"/>
          <w:szCs w:val="24"/>
          <w:highlight w:val="none"/>
          <w:lang w:val="en-US" w:eastAsia="zh-CN" w:bidi="ar-SA"/>
        </w:rPr>
      </w:pPr>
      <w:r>
        <w:rPr>
          <w:rFonts w:hint="eastAsia" w:ascii="宋体" w:hAnsi="宋体" w:eastAsia="宋体" w:cs="Times New Roman"/>
          <w:b/>
          <w:color w:val="auto"/>
          <w:kern w:val="2"/>
          <w:sz w:val="24"/>
          <w:szCs w:val="24"/>
          <w:highlight w:val="none"/>
          <w:lang w:val="en-US" w:eastAsia="zh-CN" w:bidi="ar-SA"/>
        </w:rPr>
        <w:t>4、</w:t>
      </w:r>
      <w:r>
        <w:rPr>
          <w:rFonts w:ascii="宋体" w:hAnsi="宋体" w:eastAsia="宋体" w:cs="Times New Roman"/>
          <w:b/>
          <w:color w:val="auto"/>
          <w:kern w:val="2"/>
          <w:sz w:val="24"/>
          <w:szCs w:val="24"/>
          <w:highlight w:val="none"/>
          <w:lang w:val="en-US" w:eastAsia="zh-CN" w:bidi="ar-SA"/>
        </w:rPr>
        <w:t>管网</w:t>
      </w:r>
    </w:p>
    <w:p w14:paraId="306F86A6">
      <w:pPr>
        <w:spacing w:line="360" w:lineRule="auto"/>
        <w:ind w:firstLine="480" w:firstLineChars="200"/>
        <w:rPr>
          <w:rFonts w:ascii="宋体" w:hAnsi="宋体" w:eastAsia="宋体" w:cs="Times New Roman"/>
          <w:color w:val="auto"/>
          <w:sz w:val="24"/>
          <w:highlight w:val="none"/>
        </w:rPr>
      </w:pPr>
      <w:r>
        <w:rPr>
          <w:rFonts w:hint="eastAsia" w:ascii="宋体" w:hAnsi="宋体" w:eastAsia="宋体" w:cs="Times New Roman"/>
          <w:color w:val="auto"/>
          <w:sz w:val="24"/>
          <w:highlight w:val="none"/>
        </w:rPr>
        <w:t>管网需满足供水需求，主管支管均采用地埋安装，当面积在250亩以内时可采用De90PE管道作为主管道，超过250亩时需采用De110PE以上管道作为主管道，主管道承压不低于0.8MPa，</w:t>
      </w:r>
      <w:r>
        <w:rPr>
          <w:rFonts w:ascii="宋体" w:hAnsi="宋体" w:eastAsia="宋体" w:cs="Times New Roman"/>
          <w:color w:val="auto"/>
          <w:sz w:val="24"/>
          <w:highlight w:val="none"/>
        </w:rPr>
        <w:t>主管路须安装空气阀。</w:t>
      </w:r>
      <w:r>
        <w:rPr>
          <w:rFonts w:hint="eastAsia" w:ascii="宋体" w:hAnsi="宋体" w:eastAsia="宋体" w:cs="Times New Roman"/>
          <w:color w:val="auto"/>
          <w:sz w:val="24"/>
          <w:highlight w:val="none"/>
        </w:rPr>
        <w:t>管道穿主干道需采用钢管作为保护套管。</w:t>
      </w:r>
    </w:p>
    <w:p w14:paraId="71CE518E">
      <w:pPr>
        <w:spacing w:line="360" w:lineRule="auto"/>
        <w:ind w:firstLine="480" w:firstLineChars="200"/>
        <w:rPr>
          <w:rFonts w:hint="eastAsia" w:ascii="宋体" w:hAnsi="宋体" w:eastAsia="宋体" w:cs="Times New Roman"/>
          <w:color w:val="auto"/>
          <w:sz w:val="24"/>
          <w:highlight w:val="none"/>
        </w:rPr>
      </w:pPr>
      <w:r>
        <w:rPr>
          <w:rFonts w:ascii="宋体" w:hAnsi="宋体" w:eastAsia="宋体" w:cs="Times New Roman"/>
          <w:color w:val="auto"/>
          <w:sz w:val="24"/>
          <w:highlight w:val="none"/>
        </w:rPr>
        <w:t>支管采用</w:t>
      </w:r>
      <w:r>
        <w:rPr>
          <w:rFonts w:hint="eastAsia" w:ascii="宋体" w:hAnsi="宋体" w:eastAsia="宋体" w:cs="Times New Roman"/>
          <w:color w:val="auto"/>
          <w:sz w:val="24"/>
          <w:highlight w:val="none"/>
        </w:rPr>
        <w:t>PE盘</w:t>
      </w:r>
      <w:r>
        <w:rPr>
          <w:rFonts w:ascii="宋体" w:hAnsi="宋体" w:eastAsia="宋体" w:cs="Times New Roman"/>
          <w:color w:val="auto"/>
          <w:sz w:val="24"/>
          <w:highlight w:val="none"/>
        </w:rPr>
        <w:t>管</w:t>
      </w:r>
      <w:r>
        <w:rPr>
          <w:rFonts w:hint="eastAsia" w:ascii="宋体" w:hAnsi="宋体" w:eastAsia="宋体" w:cs="Times New Roman"/>
          <w:color w:val="auto"/>
          <w:sz w:val="24"/>
          <w:highlight w:val="none"/>
        </w:rPr>
        <w:t>，管道需满足供水承压要求，最低承压不得低于0.6MPa。</w:t>
      </w:r>
    </w:p>
    <w:p w14:paraId="1B105AB3">
      <w:pPr>
        <w:spacing w:line="360" w:lineRule="auto"/>
        <w:ind w:firstLine="480" w:firstLineChars="2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为方便日常管理和控制，根据现场地形，阀门尽量集中布置，每16亩左右设置一个轮灌区，安装一个总控阀门及</w:t>
      </w:r>
      <w:r>
        <w:rPr>
          <w:rFonts w:hint="eastAsia" w:ascii="宋体" w:hAnsi="宋体" w:eastAsia="宋体" w:cs="Times New Roman"/>
          <w:b/>
          <w:bCs/>
          <w:color w:val="auto"/>
          <w:sz w:val="24"/>
          <w:highlight w:val="none"/>
          <w:lang w:val="en-US" w:eastAsia="zh-CN"/>
        </w:rPr>
        <w:t>取水龙头</w:t>
      </w:r>
      <w:r>
        <w:rPr>
          <w:rFonts w:hint="eastAsia" w:ascii="宋体" w:hAnsi="宋体" w:eastAsia="宋体" w:cs="Times New Roman"/>
          <w:color w:val="auto"/>
          <w:sz w:val="24"/>
          <w:highlight w:val="none"/>
          <w:lang w:val="en-US" w:eastAsia="zh-CN"/>
        </w:rPr>
        <w:t>，轮灌阀门安装阀门箱保护，并安装阀门指示牌，</w:t>
      </w:r>
      <w:r>
        <w:rPr>
          <w:rFonts w:hint="eastAsia" w:ascii="宋体" w:hAnsi="宋体" w:eastAsia="宋体" w:cs="Times New Roman"/>
          <w:b/>
          <w:bCs/>
          <w:color w:val="auto"/>
          <w:sz w:val="24"/>
          <w:highlight w:val="none"/>
          <w:lang w:val="en-US" w:eastAsia="zh-CN"/>
        </w:rPr>
        <w:t>便于园区管护使用</w:t>
      </w:r>
      <w:r>
        <w:rPr>
          <w:rFonts w:hint="eastAsia" w:ascii="宋体" w:hAnsi="宋体" w:eastAsia="宋体" w:cs="Times New Roman"/>
          <w:color w:val="auto"/>
          <w:sz w:val="24"/>
          <w:highlight w:val="none"/>
          <w:lang w:val="en-US" w:eastAsia="zh-CN"/>
        </w:rPr>
        <w:t>。</w:t>
      </w:r>
    </w:p>
    <w:p w14:paraId="4F942191">
      <w:pPr>
        <w:widowControl w:val="0"/>
        <w:numPr>
          <w:ilvl w:val="0"/>
          <w:numId w:val="0"/>
        </w:numPr>
        <w:spacing w:line="360" w:lineRule="auto"/>
        <w:ind w:leftChars="0" w:firstLine="482" w:firstLineChars="200"/>
        <w:jc w:val="both"/>
        <w:rPr>
          <w:rFonts w:ascii="宋体" w:hAnsi="宋体" w:eastAsia="宋体" w:cs="Times New Roman"/>
          <w:b/>
          <w:color w:val="auto"/>
          <w:kern w:val="2"/>
          <w:sz w:val="24"/>
          <w:szCs w:val="24"/>
          <w:highlight w:val="none"/>
          <w:lang w:val="en-US" w:eastAsia="zh-CN" w:bidi="ar-SA"/>
        </w:rPr>
      </w:pPr>
      <w:r>
        <w:rPr>
          <w:rFonts w:hint="eastAsia" w:ascii="宋体" w:hAnsi="宋体" w:eastAsia="宋体" w:cs="Times New Roman"/>
          <w:b/>
          <w:color w:val="auto"/>
          <w:kern w:val="2"/>
          <w:sz w:val="24"/>
          <w:szCs w:val="24"/>
          <w:highlight w:val="none"/>
          <w:lang w:val="en-US" w:eastAsia="zh-CN" w:bidi="ar-SA"/>
        </w:rPr>
        <w:t>5、灌水器</w:t>
      </w:r>
    </w:p>
    <w:p w14:paraId="6F278013">
      <w:pPr>
        <w:spacing w:line="360" w:lineRule="auto"/>
        <w:ind w:firstLine="480" w:firstLineChars="200"/>
        <w:rPr>
          <w:rFonts w:ascii="宋体" w:hAnsi="宋体" w:eastAsia="宋体" w:cs="Times New Roman"/>
          <w:color w:val="auto"/>
          <w:sz w:val="24"/>
          <w:highlight w:val="none"/>
        </w:rPr>
      </w:pPr>
      <w:r>
        <w:rPr>
          <w:rFonts w:hint="eastAsia" w:ascii="宋体" w:hAnsi="宋体" w:eastAsia="宋体" w:cs="Times New Roman"/>
          <w:color w:val="auto"/>
          <w:sz w:val="24"/>
          <w:highlight w:val="none"/>
        </w:rPr>
        <w:t>为保证灌溉均匀性，当地形落差高于30m时，采用压力补偿式滴灌带，平地采用常规内镶贴片式滴灌带。所有滴灌带壁厚不得低于</w:t>
      </w:r>
      <w:r>
        <w:rPr>
          <w:rFonts w:hint="eastAsia" w:ascii="宋体" w:hAnsi="宋体" w:eastAsia="宋体" w:cs="Times New Roman"/>
          <w:b/>
          <w:bCs/>
          <w:color w:val="auto"/>
          <w:sz w:val="24"/>
          <w:highlight w:val="none"/>
        </w:rPr>
        <w:t>0.</w:t>
      </w:r>
      <w:r>
        <w:rPr>
          <w:rFonts w:hint="eastAsia" w:ascii="宋体" w:hAnsi="宋体" w:eastAsia="宋体" w:cs="Times New Roman"/>
          <w:b/>
          <w:bCs/>
          <w:color w:val="auto"/>
          <w:sz w:val="24"/>
          <w:highlight w:val="none"/>
          <w:lang w:val="en-US" w:eastAsia="zh-CN"/>
        </w:rPr>
        <w:t>6</w:t>
      </w:r>
      <w:r>
        <w:rPr>
          <w:rFonts w:hint="eastAsia" w:ascii="宋体" w:hAnsi="宋体" w:eastAsia="宋体" w:cs="Times New Roman"/>
          <w:b/>
          <w:bCs/>
          <w:color w:val="auto"/>
          <w:sz w:val="24"/>
          <w:highlight w:val="none"/>
        </w:rPr>
        <w:t>mm</w:t>
      </w:r>
      <w:r>
        <w:rPr>
          <w:rFonts w:hint="eastAsia" w:ascii="宋体" w:hAnsi="宋体" w:eastAsia="宋体" w:cs="Times New Roman"/>
          <w:color w:val="auto"/>
          <w:sz w:val="24"/>
          <w:highlight w:val="none"/>
        </w:rPr>
        <w:t>。</w:t>
      </w:r>
    </w:p>
    <w:p w14:paraId="5482F534">
      <w:pPr>
        <w:spacing w:line="360" w:lineRule="auto"/>
        <w:ind w:firstLine="480" w:firstLineChars="200"/>
        <w:rPr>
          <w:rFonts w:ascii="宋体" w:hAnsi="宋体" w:eastAsia="宋体" w:cs="Times New Roman"/>
          <w:color w:val="auto"/>
          <w:sz w:val="24"/>
          <w:highlight w:val="none"/>
        </w:rPr>
      </w:pPr>
      <w:r>
        <w:rPr>
          <w:rFonts w:hint="eastAsia" w:ascii="宋体" w:hAnsi="宋体" w:eastAsia="宋体" w:cs="Times New Roman"/>
          <w:color w:val="auto"/>
          <w:sz w:val="24"/>
          <w:highlight w:val="none"/>
        </w:rPr>
        <w:t>压力补偿式滴灌带，防滴漏型，直径16mm，间距45cm，流量1.35L</w:t>
      </w:r>
      <w:r>
        <w:rPr>
          <w:rFonts w:hint="eastAsia" w:ascii="宋体" w:hAnsi="宋体" w:eastAsia="宋体" w:cs="Times New Roman"/>
          <w:color w:val="auto"/>
          <w:sz w:val="24"/>
          <w:highlight w:val="none"/>
          <w:lang w:val="en-US" w:eastAsia="zh-CN"/>
        </w:rPr>
        <w:t>/h</w:t>
      </w:r>
      <w:r>
        <w:rPr>
          <w:rFonts w:hint="eastAsia" w:ascii="宋体" w:hAnsi="宋体" w:eastAsia="宋体" w:cs="Times New Roman"/>
          <w:color w:val="auto"/>
          <w:sz w:val="24"/>
          <w:highlight w:val="none"/>
        </w:rPr>
        <w:t>，压力补偿范围：0.05-0.4Mpa。</w:t>
      </w:r>
    </w:p>
    <w:p w14:paraId="584BEED2">
      <w:pPr>
        <w:spacing w:line="360" w:lineRule="auto"/>
        <w:ind w:firstLine="480" w:firstLineChars="200"/>
        <w:rPr>
          <w:rFonts w:ascii="宋体" w:hAnsi="宋体" w:eastAsia="宋体" w:cs="Times New Roman"/>
          <w:color w:val="auto"/>
          <w:sz w:val="24"/>
          <w:highlight w:val="none"/>
        </w:rPr>
      </w:pPr>
      <w:r>
        <w:rPr>
          <w:rFonts w:hint="eastAsia" w:ascii="宋体" w:hAnsi="宋体" w:eastAsia="宋体" w:cs="Times New Roman"/>
          <w:color w:val="auto"/>
          <w:sz w:val="24"/>
          <w:highlight w:val="none"/>
        </w:rPr>
        <w:t>压力补偿滴灌带允许采用进口产品，进口产品必须具有国外生产商合法有效授权书、海关进口货物报关单及权威检测机构检测报告。</w:t>
      </w:r>
    </w:p>
    <w:p w14:paraId="3CB99CA7">
      <w:pPr>
        <w:spacing w:line="360" w:lineRule="auto"/>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rPr>
        <w:t>内镶贴片式滴灌带，直径16mm，间距45cm，流量1.38L</w:t>
      </w:r>
      <w:r>
        <w:rPr>
          <w:rFonts w:hint="eastAsia" w:ascii="宋体" w:hAnsi="宋体" w:eastAsia="宋体" w:cs="Times New Roman"/>
          <w:color w:val="auto"/>
          <w:sz w:val="24"/>
          <w:highlight w:val="none"/>
          <w:lang w:val="en-US" w:eastAsia="zh-CN"/>
        </w:rPr>
        <w:t>/h</w:t>
      </w:r>
      <w:r>
        <w:rPr>
          <w:rFonts w:hint="eastAsia" w:ascii="宋体" w:hAnsi="宋体" w:eastAsia="宋体" w:cs="Times New Roman"/>
          <w:color w:val="auto"/>
          <w:sz w:val="24"/>
          <w:highlight w:val="none"/>
        </w:rPr>
        <w:t>。</w:t>
      </w:r>
    </w:p>
    <w:p w14:paraId="4A36F920">
      <w:pPr>
        <w:spacing w:line="360" w:lineRule="auto"/>
        <w:ind w:firstLine="480" w:firstLineChars="2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rPr>
        <w:t>滴灌带</w:t>
      </w:r>
      <w:r>
        <w:rPr>
          <w:rFonts w:hint="eastAsia" w:ascii="宋体" w:hAnsi="宋体" w:eastAsia="宋体" w:cs="Times New Roman"/>
          <w:color w:val="auto"/>
          <w:sz w:val="24"/>
          <w:highlight w:val="none"/>
          <w:lang w:val="en-US" w:eastAsia="zh-CN"/>
        </w:rPr>
        <w:t>须配备固定卡扣3米/个，卡扣长度不低于20cm。</w:t>
      </w:r>
    </w:p>
    <w:p w14:paraId="54651ABE">
      <w:pPr>
        <w:widowControl w:val="0"/>
        <w:numPr>
          <w:ilvl w:val="0"/>
          <w:numId w:val="0"/>
        </w:numPr>
        <w:spacing w:line="360" w:lineRule="auto"/>
        <w:ind w:leftChars="0" w:firstLine="482" w:firstLineChars="200"/>
        <w:jc w:val="both"/>
        <w:rPr>
          <w:rFonts w:ascii="宋体" w:hAnsi="宋体" w:eastAsia="宋体" w:cs="Times New Roman"/>
          <w:b/>
          <w:color w:val="auto"/>
          <w:kern w:val="2"/>
          <w:sz w:val="24"/>
          <w:szCs w:val="24"/>
          <w:highlight w:val="none"/>
          <w:lang w:val="en-US" w:eastAsia="zh-CN" w:bidi="ar-SA"/>
        </w:rPr>
      </w:pPr>
      <w:r>
        <w:rPr>
          <w:rFonts w:hint="eastAsia" w:ascii="宋体" w:hAnsi="宋体" w:eastAsia="宋体" w:cs="Times New Roman"/>
          <w:b/>
          <w:color w:val="auto"/>
          <w:kern w:val="2"/>
          <w:sz w:val="24"/>
          <w:szCs w:val="24"/>
          <w:highlight w:val="none"/>
          <w:lang w:val="en-US" w:eastAsia="zh-CN" w:bidi="ar-SA"/>
        </w:rPr>
        <w:t>6、控制系统</w:t>
      </w:r>
    </w:p>
    <w:p w14:paraId="2B237A8A">
      <w:pPr>
        <w:spacing w:line="360" w:lineRule="auto"/>
        <w:ind w:firstLine="480" w:firstLineChars="2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val="en-US" w:eastAsia="zh-CN"/>
        </w:rPr>
        <w:t>园区</w:t>
      </w:r>
      <w:r>
        <w:rPr>
          <w:rFonts w:ascii="宋体" w:hAnsi="宋体" w:eastAsia="宋体" w:cs="Times New Roman"/>
          <w:color w:val="auto"/>
          <w:sz w:val="24"/>
          <w:highlight w:val="none"/>
        </w:rPr>
        <w:t>供水阀门采用</w:t>
      </w:r>
      <w:r>
        <w:rPr>
          <w:rFonts w:hint="eastAsia" w:ascii="宋体" w:hAnsi="宋体" w:eastAsia="宋体" w:cs="Times New Roman"/>
          <w:color w:val="auto"/>
          <w:sz w:val="24"/>
          <w:highlight w:val="none"/>
        </w:rPr>
        <w:t>手动</w:t>
      </w:r>
      <w:r>
        <w:rPr>
          <w:rFonts w:ascii="宋体" w:hAnsi="宋体" w:eastAsia="宋体" w:cs="Times New Roman"/>
          <w:color w:val="auto"/>
          <w:sz w:val="24"/>
          <w:highlight w:val="none"/>
        </w:rPr>
        <w:t>阀门</w:t>
      </w:r>
      <w:r>
        <w:rPr>
          <w:rFonts w:hint="eastAsia" w:ascii="宋体" w:hAnsi="宋体" w:eastAsia="宋体" w:cs="Times New Roman"/>
          <w:color w:val="auto"/>
          <w:sz w:val="24"/>
          <w:highlight w:val="none"/>
        </w:rPr>
        <w:t>控制，示范区采用电磁阀自动控制，采用无线传输的方式。</w:t>
      </w:r>
    </w:p>
    <w:p w14:paraId="504FA50A">
      <w:pPr>
        <w:spacing w:line="360" w:lineRule="auto"/>
        <w:ind w:firstLine="480" w:firstLineChars="2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园区</w:t>
      </w:r>
      <w:r>
        <w:rPr>
          <w:rFonts w:ascii="宋体" w:hAnsi="宋体" w:eastAsia="宋体" w:cs="Times New Roman"/>
          <w:color w:val="auto"/>
          <w:sz w:val="24"/>
          <w:highlight w:val="none"/>
        </w:rPr>
        <w:t>供水阀门</w:t>
      </w:r>
      <w:r>
        <w:rPr>
          <w:rFonts w:hint="eastAsia" w:ascii="宋体" w:hAnsi="宋体" w:eastAsia="宋体" w:cs="Times New Roman"/>
          <w:color w:val="auto"/>
          <w:sz w:val="24"/>
          <w:highlight w:val="none"/>
          <w:lang w:val="en-US" w:eastAsia="zh-CN"/>
        </w:rPr>
        <w:t>须满足园区管理需求，操作简单便捷，省时省工。</w:t>
      </w:r>
    </w:p>
    <w:p w14:paraId="0297E538">
      <w:pPr>
        <w:widowControl w:val="0"/>
        <w:numPr>
          <w:ilvl w:val="0"/>
          <w:numId w:val="0"/>
        </w:numPr>
        <w:spacing w:line="360" w:lineRule="auto"/>
        <w:ind w:leftChars="0" w:firstLine="482" w:firstLineChars="200"/>
        <w:jc w:val="both"/>
        <w:rPr>
          <w:rFonts w:ascii="宋体" w:hAnsi="宋体" w:eastAsia="宋体" w:cs="Times New Roman"/>
          <w:b/>
          <w:color w:val="auto"/>
          <w:kern w:val="2"/>
          <w:sz w:val="24"/>
          <w:szCs w:val="24"/>
          <w:highlight w:val="none"/>
          <w:lang w:val="en-US" w:eastAsia="zh-CN" w:bidi="ar-SA"/>
        </w:rPr>
      </w:pPr>
      <w:r>
        <w:rPr>
          <w:rFonts w:hint="eastAsia" w:ascii="宋体" w:hAnsi="宋体" w:eastAsia="宋体" w:cs="Times New Roman"/>
          <w:b/>
          <w:color w:val="auto"/>
          <w:kern w:val="2"/>
          <w:sz w:val="24"/>
          <w:szCs w:val="24"/>
          <w:highlight w:val="none"/>
          <w:lang w:val="en-US" w:eastAsia="zh-CN" w:bidi="ar-SA"/>
        </w:rPr>
        <w:t>7、泵房</w:t>
      </w:r>
    </w:p>
    <w:p w14:paraId="08736CDE">
      <w:pPr>
        <w:widowControl w:val="0"/>
        <w:spacing w:line="440" w:lineRule="exact"/>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对于首部流量为50m³/h的泵房，至少需要提供不小于28m</w:t>
      </w:r>
      <w:r>
        <w:rPr>
          <w:rFonts w:hint="eastAsia" w:ascii="宋体" w:hAnsi="宋体" w:eastAsia="宋体" w:cs="Times New Roman"/>
          <w:color w:val="auto"/>
          <w:kern w:val="2"/>
          <w:sz w:val="24"/>
          <w:szCs w:val="24"/>
          <w:highlight w:val="none"/>
          <w:vertAlign w:val="superscript"/>
          <w:lang w:val="en-US" w:eastAsia="zh-CN" w:bidi="ar-SA"/>
        </w:rPr>
        <w:t>2</w:t>
      </w:r>
      <w:r>
        <w:rPr>
          <w:rFonts w:hint="eastAsia" w:ascii="宋体" w:hAnsi="宋体" w:eastAsia="宋体" w:cs="Times New Roman"/>
          <w:color w:val="auto"/>
          <w:kern w:val="2"/>
          <w:sz w:val="24"/>
          <w:szCs w:val="24"/>
          <w:highlight w:val="none"/>
          <w:lang w:val="en-US" w:eastAsia="zh-CN" w:bidi="ar-SA"/>
        </w:rPr>
        <w:t>（厚度20公分C20混泥土）的彩钢板泵房需双开门，保温棉夹层。对于首部流量为30m³/h的泵房，至少需要提供不小于20m</w:t>
      </w:r>
      <w:r>
        <w:rPr>
          <w:rFonts w:hint="eastAsia" w:ascii="宋体" w:hAnsi="宋体" w:eastAsia="宋体" w:cs="Times New Roman"/>
          <w:color w:val="auto"/>
          <w:kern w:val="2"/>
          <w:sz w:val="24"/>
          <w:szCs w:val="24"/>
          <w:highlight w:val="none"/>
          <w:vertAlign w:val="superscript"/>
          <w:lang w:val="en-US" w:eastAsia="zh-CN" w:bidi="ar-SA"/>
        </w:rPr>
        <w:t>2</w:t>
      </w:r>
      <w:r>
        <w:rPr>
          <w:rFonts w:hint="eastAsia" w:ascii="宋体" w:hAnsi="宋体" w:eastAsia="宋体" w:cs="Times New Roman"/>
          <w:color w:val="auto"/>
          <w:kern w:val="2"/>
          <w:sz w:val="24"/>
          <w:szCs w:val="24"/>
          <w:highlight w:val="none"/>
          <w:lang w:val="en-US" w:eastAsia="zh-CN" w:bidi="ar-SA"/>
        </w:rPr>
        <w:t>（厚度20公分C20混泥土）的彩钢板泵房需双开门，保温棉夹层。具体样式参照公岭社区基地泵房。</w:t>
      </w:r>
    </w:p>
    <w:p w14:paraId="428C08E6">
      <w:pPr>
        <w:widowControl w:val="0"/>
        <w:numPr>
          <w:ilvl w:val="0"/>
          <w:numId w:val="0"/>
        </w:numPr>
        <w:spacing w:line="360" w:lineRule="auto"/>
        <w:ind w:leftChars="0" w:firstLine="482" w:firstLineChars="200"/>
        <w:jc w:val="both"/>
        <w:rPr>
          <w:rFonts w:ascii="宋体" w:hAnsi="宋体" w:eastAsia="宋体" w:cs="Times New Roman"/>
          <w:b/>
          <w:color w:val="auto"/>
          <w:kern w:val="2"/>
          <w:sz w:val="24"/>
          <w:szCs w:val="24"/>
          <w:highlight w:val="none"/>
          <w:lang w:val="en-US" w:eastAsia="zh-CN" w:bidi="ar-SA"/>
        </w:rPr>
      </w:pPr>
      <w:r>
        <w:rPr>
          <w:rFonts w:hint="eastAsia" w:ascii="宋体" w:hAnsi="宋体" w:eastAsia="宋体" w:cs="Times New Roman"/>
          <w:b/>
          <w:color w:val="auto"/>
          <w:kern w:val="2"/>
          <w:sz w:val="24"/>
          <w:szCs w:val="24"/>
          <w:highlight w:val="none"/>
          <w:lang w:val="en-US" w:eastAsia="zh-CN" w:bidi="ar-SA"/>
        </w:rPr>
        <w:t>8、蓄水桶</w:t>
      </w:r>
    </w:p>
    <w:p w14:paraId="48A85490">
      <w:pPr>
        <w:widowControl w:val="0"/>
        <w:spacing w:line="440" w:lineRule="exact"/>
        <w:ind w:firstLine="480" w:firstLineChars="200"/>
        <w:jc w:val="both"/>
        <w:rPr>
          <w:rFonts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对于部分高差较大，不方便直接采用离心泵或者潜水泵直接灌溉的基地，在泵房位置附近安装蓄水桶。蓄水桶采用钢制拼装式衬膜蓄水桶。</w:t>
      </w:r>
    </w:p>
    <w:p w14:paraId="509C6555">
      <w:pPr>
        <w:keepNext/>
        <w:keepLines/>
        <w:widowControl w:val="0"/>
        <w:spacing w:line="360" w:lineRule="auto"/>
        <w:jc w:val="left"/>
        <w:outlineLvl w:val="1"/>
        <w:rPr>
          <w:rFonts w:ascii="Cambria" w:hAnsi="Cambria" w:eastAsia="宋体" w:cs="Times New Roman"/>
          <w:b/>
          <w:bCs/>
          <w:color w:val="auto"/>
          <w:kern w:val="2"/>
          <w:sz w:val="28"/>
          <w:szCs w:val="32"/>
          <w:highlight w:val="none"/>
          <w:lang w:val="en-US" w:eastAsia="zh-CN" w:bidi="ar-SA"/>
        </w:rPr>
      </w:pPr>
      <w:r>
        <w:rPr>
          <w:rFonts w:hint="eastAsia" w:ascii="Cambria" w:hAnsi="Cambria" w:eastAsia="宋体" w:cs="Times New Roman"/>
          <w:b/>
          <w:bCs/>
          <w:color w:val="auto"/>
          <w:kern w:val="2"/>
          <w:sz w:val="28"/>
          <w:szCs w:val="32"/>
          <w:highlight w:val="none"/>
          <w:lang w:val="en-US" w:eastAsia="zh-CN" w:bidi="ar-SA"/>
        </w:rPr>
        <w:t>四、使用效果</w:t>
      </w:r>
    </w:p>
    <w:p w14:paraId="79BC89EF">
      <w:pPr>
        <w:spacing w:line="360" w:lineRule="auto"/>
        <w:ind w:firstLine="480" w:firstLineChars="200"/>
        <w:rPr>
          <w:rFonts w:ascii="宋体" w:hAnsi="宋体" w:eastAsia="宋体" w:cs="Times New Roman"/>
          <w:color w:val="auto"/>
          <w:sz w:val="24"/>
          <w:highlight w:val="none"/>
        </w:rPr>
      </w:pPr>
      <w:r>
        <w:rPr>
          <w:rFonts w:hint="eastAsia" w:ascii="宋体" w:hAnsi="宋体" w:eastAsia="宋体" w:cs="Times New Roman"/>
          <w:color w:val="auto"/>
          <w:sz w:val="24"/>
          <w:highlight w:val="none"/>
        </w:rPr>
        <w:t>所采购水肥一体化设施应保证规范使用情况下管路不堵塞，确保</w:t>
      </w:r>
      <w:r>
        <w:rPr>
          <w:rFonts w:hint="eastAsia" w:ascii="宋体" w:hAnsi="宋体" w:eastAsia="宋体" w:cs="Times New Roman"/>
          <w:color w:val="auto"/>
          <w:sz w:val="24"/>
          <w:highlight w:val="none"/>
          <w:lang w:val="en-US" w:eastAsia="zh-CN"/>
        </w:rPr>
        <w:t>园区</w:t>
      </w:r>
      <w:r>
        <w:rPr>
          <w:rFonts w:hint="eastAsia" w:ascii="宋体" w:hAnsi="宋体" w:eastAsia="宋体" w:cs="Times New Roman"/>
          <w:color w:val="auto"/>
          <w:sz w:val="24"/>
          <w:highlight w:val="none"/>
        </w:rPr>
        <w:t>内各个位置灌溉施肥均匀，系统可升级拓展自动化</w:t>
      </w:r>
      <w:r>
        <w:rPr>
          <w:rFonts w:hint="eastAsia" w:ascii="宋体" w:hAnsi="宋体" w:eastAsia="宋体" w:cs="Times New Roman"/>
          <w:color w:val="auto"/>
          <w:sz w:val="24"/>
          <w:highlight w:val="none"/>
          <w:lang w:val="en-US" w:eastAsia="zh-CN"/>
        </w:rPr>
        <w:t>，确保每个园区8小时内灌溉完毕。</w:t>
      </w:r>
    </w:p>
    <w:p w14:paraId="7D00C23D">
      <w:pPr>
        <w:keepNext/>
        <w:keepLines/>
        <w:widowControl w:val="0"/>
        <w:spacing w:line="360" w:lineRule="auto"/>
        <w:jc w:val="left"/>
        <w:outlineLvl w:val="1"/>
        <w:rPr>
          <w:rFonts w:ascii="Cambria" w:hAnsi="Cambria" w:eastAsia="宋体" w:cs="Times New Roman"/>
          <w:b/>
          <w:bCs/>
          <w:color w:val="auto"/>
          <w:kern w:val="2"/>
          <w:sz w:val="28"/>
          <w:szCs w:val="32"/>
          <w:highlight w:val="none"/>
          <w:lang w:val="en-US" w:eastAsia="zh-CN" w:bidi="ar-SA"/>
        </w:rPr>
      </w:pPr>
      <w:r>
        <w:rPr>
          <w:rFonts w:hint="eastAsia" w:ascii="Cambria" w:hAnsi="Cambria" w:eastAsia="宋体" w:cs="Times New Roman"/>
          <w:b/>
          <w:bCs/>
          <w:color w:val="auto"/>
          <w:kern w:val="2"/>
          <w:sz w:val="28"/>
          <w:szCs w:val="32"/>
          <w:highlight w:val="none"/>
          <w:lang w:val="en-US" w:eastAsia="zh-CN" w:bidi="ar-SA"/>
        </w:rPr>
        <w:t>五、验收标准</w:t>
      </w:r>
    </w:p>
    <w:p w14:paraId="561F60B6">
      <w:pPr>
        <w:widowControl w:val="0"/>
        <w:numPr>
          <w:ilvl w:val="0"/>
          <w:numId w:val="0"/>
        </w:numPr>
        <w:spacing w:line="360" w:lineRule="auto"/>
        <w:ind w:leftChars="0"/>
        <w:jc w:val="both"/>
        <w:rPr>
          <w:rFonts w:ascii="宋体" w:hAnsi="宋体" w:eastAsia="宋体" w:cs="Times New Roman"/>
          <w:b/>
          <w:color w:val="auto"/>
          <w:kern w:val="2"/>
          <w:sz w:val="24"/>
          <w:szCs w:val="24"/>
          <w:highlight w:val="none"/>
          <w:lang w:val="en-US" w:eastAsia="zh-CN" w:bidi="ar-SA"/>
        </w:rPr>
      </w:pPr>
      <w:r>
        <w:rPr>
          <w:rFonts w:hint="eastAsia" w:ascii="宋体" w:hAnsi="宋体" w:eastAsia="宋体" w:cs="Times New Roman"/>
          <w:b/>
          <w:color w:val="auto"/>
          <w:kern w:val="2"/>
          <w:sz w:val="24"/>
          <w:szCs w:val="24"/>
          <w:highlight w:val="none"/>
          <w:lang w:val="en-US" w:eastAsia="zh-CN" w:bidi="ar-SA"/>
        </w:rPr>
        <w:t>1、深化设计要求</w:t>
      </w:r>
    </w:p>
    <w:p w14:paraId="08C56152">
      <w:pPr>
        <w:widowControl w:val="0"/>
        <w:numPr>
          <w:ilvl w:val="0"/>
          <w:numId w:val="0"/>
        </w:numPr>
        <w:spacing w:line="360" w:lineRule="auto"/>
        <w:ind w:firstLine="240" w:firstLineChars="100"/>
        <w:jc w:val="left"/>
        <w:rPr>
          <w:rFonts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（1）应收集水源、气象、地形、道路、沟渠、土壤、作物、种植规划、定位、与发展规划等方面的基本资料。</w:t>
      </w:r>
    </w:p>
    <w:p w14:paraId="6054A264">
      <w:pPr>
        <w:widowControl w:val="0"/>
        <w:numPr>
          <w:ilvl w:val="0"/>
          <w:numId w:val="0"/>
        </w:numPr>
        <w:spacing w:line="360" w:lineRule="auto"/>
        <w:ind w:firstLine="240" w:firstLineChars="100"/>
        <w:jc w:val="left"/>
        <w:rPr>
          <w:rFonts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（2）设计方案包括规划说明、各基地详细设备清单及工程布置图。设计说明应包括项目概况、建设内容、建议运行制度等基本内容。设备清单应包括主要设备和材料规格、型号、数量，明确其单价。</w:t>
      </w:r>
    </w:p>
    <w:p w14:paraId="29DD95DA">
      <w:pPr>
        <w:widowControl w:val="0"/>
        <w:numPr>
          <w:ilvl w:val="0"/>
          <w:numId w:val="0"/>
        </w:numPr>
        <w:spacing w:line="360" w:lineRule="auto"/>
        <w:ind w:firstLine="240" w:firstLineChars="100"/>
        <w:jc w:val="left"/>
        <w:rPr>
          <w:rFonts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（3）布置图必需明确建设范围，现场道路、泵房等基础设施布局，首部枢纽区位，主输水管网布局，管控阀门布局，首部设备布局等基本要素。</w:t>
      </w:r>
    </w:p>
    <w:p w14:paraId="100FBF78">
      <w:pPr>
        <w:widowControl w:val="0"/>
        <w:numPr>
          <w:ilvl w:val="0"/>
          <w:numId w:val="0"/>
        </w:numPr>
        <w:spacing w:line="360" w:lineRule="auto"/>
        <w:ind w:firstLine="240" w:firstLineChars="100"/>
        <w:jc w:val="left"/>
        <w:rPr>
          <w:rFonts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（4）灌溉系统设计前，应根据现行国家标准的相关规定，结合规划要求和确定的灌水方式，合理确定相关技术参数。</w:t>
      </w:r>
    </w:p>
    <w:p w14:paraId="16150039">
      <w:pPr>
        <w:widowControl w:val="0"/>
        <w:numPr>
          <w:ilvl w:val="0"/>
          <w:numId w:val="0"/>
        </w:numPr>
        <w:spacing w:line="360" w:lineRule="auto"/>
        <w:ind w:leftChars="0"/>
        <w:jc w:val="both"/>
        <w:rPr>
          <w:rFonts w:ascii="宋体" w:hAnsi="宋体" w:eastAsia="宋体" w:cs="Times New Roman"/>
          <w:b/>
          <w:color w:val="auto"/>
          <w:kern w:val="2"/>
          <w:sz w:val="24"/>
          <w:szCs w:val="24"/>
          <w:highlight w:val="none"/>
          <w:lang w:val="en-US" w:eastAsia="zh-CN" w:bidi="ar-SA"/>
        </w:rPr>
      </w:pPr>
      <w:r>
        <w:rPr>
          <w:rFonts w:hint="eastAsia" w:ascii="宋体" w:hAnsi="宋体" w:eastAsia="宋体" w:cs="Times New Roman"/>
          <w:b/>
          <w:color w:val="auto"/>
          <w:kern w:val="2"/>
          <w:sz w:val="24"/>
          <w:szCs w:val="24"/>
          <w:highlight w:val="none"/>
          <w:lang w:val="en-US" w:eastAsia="zh-CN" w:bidi="ar-SA"/>
        </w:rPr>
        <w:t>2、水源工程</w:t>
      </w:r>
    </w:p>
    <w:p w14:paraId="0B03848F">
      <w:pPr>
        <w:widowControl w:val="0"/>
        <w:numPr>
          <w:ilvl w:val="0"/>
          <w:numId w:val="0"/>
        </w:numPr>
        <w:tabs>
          <w:tab w:val="left" w:pos="567"/>
        </w:tabs>
        <w:spacing w:line="360" w:lineRule="auto"/>
        <w:ind w:firstLine="240" w:firstLineChars="100"/>
        <w:jc w:val="left"/>
        <w:rPr>
          <w:rFonts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（1）水源工程必须按年用水计划和作业计划规定的供水量和供水时间保证供水。</w:t>
      </w:r>
    </w:p>
    <w:p w14:paraId="09CED307">
      <w:pPr>
        <w:widowControl w:val="0"/>
        <w:numPr>
          <w:ilvl w:val="0"/>
          <w:numId w:val="0"/>
        </w:numPr>
        <w:tabs>
          <w:tab w:val="left" w:pos="567"/>
        </w:tabs>
        <w:spacing w:line="360" w:lineRule="auto"/>
        <w:ind w:firstLine="240" w:firstLineChars="100"/>
        <w:jc w:val="left"/>
        <w:rPr>
          <w:rFonts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（2）以河流、渠道、水库、塘堰、机井等为水源的水源工程，应按有关规范的规定执行。</w:t>
      </w:r>
    </w:p>
    <w:p w14:paraId="54647E89">
      <w:pPr>
        <w:widowControl w:val="0"/>
        <w:numPr>
          <w:ilvl w:val="0"/>
          <w:numId w:val="0"/>
        </w:numPr>
        <w:tabs>
          <w:tab w:val="left" w:pos="567"/>
        </w:tabs>
        <w:spacing w:line="360" w:lineRule="auto"/>
        <w:ind w:firstLine="240" w:firstLineChars="100"/>
        <w:jc w:val="left"/>
        <w:rPr>
          <w:rFonts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（3）水源工程应按有关工程技术规范进行设计。</w:t>
      </w:r>
    </w:p>
    <w:p w14:paraId="74497734">
      <w:pPr>
        <w:widowControl w:val="0"/>
        <w:numPr>
          <w:ilvl w:val="0"/>
          <w:numId w:val="0"/>
        </w:numPr>
        <w:tabs>
          <w:tab w:val="left" w:pos="567"/>
        </w:tabs>
        <w:spacing w:line="360" w:lineRule="auto"/>
        <w:ind w:firstLine="240" w:firstLineChars="100"/>
        <w:jc w:val="left"/>
        <w:rPr>
          <w:rFonts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（4）进入灌溉系统管网的水应经过净化处理，不应含有太多大粒泥沙、杂草、鱼卵、藻类等物质。</w:t>
      </w:r>
    </w:p>
    <w:p w14:paraId="74C421A0">
      <w:pPr>
        <w:widowControl w:val="0"/>
        <w:numPr>
          <w:ilvl w:val="0"/>
          <w:numId w:val="0"/>
        </w:numPr>
        <w:spacing w:line="360" w:lineRule="auto"/>
        <w:ind w:leftChars="0"/>
        <w:jc w:val="both"/>
        <w:rPr>
          <w:rFonts w:ascii="宋体" w:hAnsi="宋体" w:eastAsia="宋体" w:cs="Times New Roman"/>
          <w:b/>
          <w:color w:val="auto"/>
          <w:kern w:val="2"/>
          <w:sz w:val="24"/>
          <w:szCs w:val="24"/>
          <w:highlight w:val="none"/>
          <w:lang w:val="en-US" w:eastAsia="zh-CN" w:bidi="ar-SA"/>
        </w:rPr>
      </w:pPr>
      <w:r>
        <w:rPr>
          <w:rFonts w:hint="eastAsia" w:ascii="宋体" w:hAnsi="宋体" w:eastAsia="宋体" w:cs="Times New Roman"/>
          <w:b/>
          <w:color w:val="auto"/>
          <w:kern w:val="2"/>
          <w:sz w:val="24"/>
          <w:szCs w:val="24"/>
          <w:highlight w:val="none"/>
          <w:lang w:val="en-US" w:eastAsia="zh-CN" w:bidi="ar-SA"/>
        </w:rPr>
        <w:t>3、首部枢纽</w:t>
      </w:r>
    </w:p>
    <w:p w14:paraId="29E9400F">
      <w:pPr>
        <w:spacing w:line="360" w:lineRule="auto"/>
        <w:ind w:firstLine="480" w:firstLineChars="200"/>
        <w:jc w:val="left"/>
        <w:rPr>
          <w:rFonts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灌溉系统的首部枢纽包括水泵、控制设备、施肥药装置和过滤设施。其作用就是从水源取水加压，并加入肥料和农药，经净化处理，担负着整个灌溉系统的加压、供水（肥、药）、过滤、量测和调控任务。</w:t>
      </w:r>
    </w:p>
    <w:p w14:paraId="15A0467E">
      <w:pPr>
        <w:spacing w:line="360" w:lineRule="auto"/>
        <w:ind w:firstLine="480" w:firstLineChars="200"/>
        <w:jc w:val="left"/>
        <w:rPr>
          <w:rFonts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首部系统位置应根据水源及灌溉地的相对位置定：</w:t>
      </w:r>
    </w:p>
    <w:p w14:paraId="01522BD5">
      <w:pPr>
        <w:widowControl w:val="0"/>
        <w:numPr>
          <w:ilvl w:val="0"/>
          <w:numId w:val="0"/>
        </w:numPr>
        <w:spacing w:line="360" w:lineRule="auto"/>
        <w:ind w:firstLine="240" w:firstLineChars="100"/>
        <w:jc w:val="left"/>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（1）水源距灌溉地块较近时，首部枢纽布置在水源附近，以便管理。</w:t>
      </w:r>
    </w:p>
    <w:p w14:paraId="2952F7C7">
      <w:pPr>
        <w:widowControl w:val="0"/>
        <w:numPr>
          <w:ilvl w:val="0"/>
          <w:numId w:val="0"/>
        </w:numPr>
        <w:spacing w:line="360" w:lineRule="auto"/>
        <w:ind w:firstLine="240" w:firstLineChars="100"/>
        <w:jc w:val="left"/>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（2）水源距灌溉地块距离较远时，首部枢纽就应布置在灌溉地附近易于管 理的位置。</w:t>
      </w:r>
    </w:p>
    <w:p w14:paraId="7780F568">
      <w:pPr>
        <w:widowControl w:val="0"/>
        <w:numPr>
          <w:ilvl w:val="0"/>
          <w:numId w:val="0"/>
        </w:numPr>
        <w:spacing w:line="360" w:lineRule="auto"/>
        <w:ind w:firstLine="240" w:firstLineChars="100"/>
        <w:jc w:val="left"/>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（3）首部枢纽应将加压、过滤、安全保护和量测控制设备等集中安装。</w:t>
      </w:r>
    </w:p>
    <w:p w14:paraId="63FA486F">
      <w:pPr>
        <w:widowControl w:val="0"/>
        <w:numPr>
          <w:ilvl w:val="0"/>
          <w:numId w:val="0"/>
        </w:numPr>
        <w:spacing w:line="360" w:lineRule="auto"/>
        <w:ind w:firstLine="240" w:firstLineChars="100"/>
        <w:jc w:val="left"/>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（4）用于人畜饮水管道应与灌溉供水管道分开，化肥和农药注入口应该配置过滤设备。</w:t>
      </w:r>
    </w:p>
    <w:p w14:paraId="52617058">
      <w:pPr>
        <w:widowControl w:val="0"/>
        <w:numPr>
          <w:ilvl w:val="0"/>
          <w:numId w:val="0"/>
        </w:numPr>
        <w:spacing w:line="360" w:lineRule="auto"/>
        <w:ind w:left="239" w:leftChars="114" w:firstLine="0" w:firstLineChars="0"/>
        <w:jc w:val="left"/>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（5）首部枢纽房屋应满足机电设备、过滤器、施肥装置等安装和操作要求。（6）清洗过滤器、化肥罐的废水未经处理，不得排入原水源中。</w:t>
      </w:r>
    </w:p>
    <w:p w14:paraId="6C224E90">
      <w:pPr>
        <w:widowControl w:val="0"/>
        <w:numPr>
          <w:ilvl w:val="0"/>
          <w:numId w:val="0"/>
        </w:numPr>
        <w:spacing w:line="360" w:lineRule="auto"/>
        <w:ind w:leftChars="0"/>
        <w:jc w:val="both"/>
        <w:rPr>
          <w:rFonts w:ascii="宋体" w:hAnsi="宋体" w:eastAsia="宋体" w:cs="Times New Roman"/>
          <w:b/>
          <w:color w:val="auto"/>
          <w:kern w:val="2"/>
          <w:sz w:val="24"/>
          <w:szCs w:val="24"/>
          <w:highlight w:val="none"/>
          <w:lang w:val="en-US" w:eastAsia="zh-CN" w:bidi="ar-SA"/>
        </w:rPr>
      </w:pPr>
      <w:r>
        <w:rPr>
          <w:rFonts w:hint="eastAsia" w:ascii="宋体" w:hAnsi="宋体" w:eastAsia="宋体" w:cs="Times New Roman"/>
          <w:b/>
          <w:color w:val="auto"/>
          <w:kern w:val="2"/>
          <w:sz w:val="24"/>
          <w:szCs w:val="24"/>
          <w:highlight w:val="none"/>
          <w:lang w:val="en-US" w:eastAsia="zh-CN" w:bidi="ar-SA"/>
        </w:rPr>
        <w:t>4、水泵的选择</w:t>
      </w:r>
    </w:p>
    <w:p w14:paraId="68B52237">
      <w:pPr>
        <w:spacing w:line="360" w:lineRule="auto"/>
        <w:ind w:firstLine="240" w:firstLineChars="100"/>
        <w:jc w:val="left"/>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（1）在设计扬程下，流量满足灌溉系统所需流量要求。</w:t>
      </w:r>
    </w:p>
    <w:p w14:paraId="4167C6CF">
      <w:pPr>
        <w:spacing w:line="360" w:lineRule="auto"/>
        <w:ind w:firstLine="240" w:firstLineChars="100"/>
        <w:jc w:val="left"/>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（2）在长期运行过程中，水泵的工作效率要高，而且经常在最高效率点的右侧运行为最好。</w:t>
      </w:r>
    </w:p>
    <w:p w14:paraId="2BF26F4E">
      <w:pPr>
        <w:spacing w:line="360" w:lineRule="auto"/>
        <w:ind w:firstLine="240" w:firstLineChars="100"/>
        <w:jc w:val="left"/>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（3）便于运行管理。</w:t>
      </w:r>
    </w:p>
    <w:p w14:paraId="258D9694">
      <w:pPr>
        <w:spacing w:line="360" w:lineRule="auto"/>
        <w:ind w:firstLine="240" w:firstLineChars="100"/>
        <w:jc w:val="left"/>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（4）正规厂家生产的水泵产品，具有3C认证企业。</w:t>
      </w:r>
    </w:p>
    <w:p w14:paraId="7533637E">
      <w:pPr>
        <w:widowControl w:val="0"/>
        <w:numPr>
          <w:ilvl w:val="0"/>
          <w:numId w:val="0"/>
        </w:numPr>
        <w:spacing w:line="360" w:lineRule="auto"/>
        <w:ind w:leftChars="0"/>
        <w:jc w:val="both"/>
        <w:rPr>
          <w:rFonts w:ascii="宋体" w:hAnsi="宋体" w:eastAsia="宋体" w:cs="Times New Roman"/>
          <w:b/>
          <w:color w:val="auto"/>
          <w:kern w:val="2"/>
          <w:sz w:val="24"/>
          <w:szCs w:val="24"/>
          <w:highlight w:val="none"/>
          <w:lang w:val="en-US" w:eastAsia="zh-CN" w:bidi="ar-SA"/>
        </w:rPr>
      </w:pPr>
      <w:r>
        <w:rPr>
          <w:rFonts w:hint="eastAsia" w:ascii="宋体" w:hAnsi="宋体" w:eastAsia="宋体" w:cs="Times New Roman"/>
          <w:b/>
          <w:color w:val="auto"/>
          <w:kern w:val="2"/>
          <w:sz w:val="24"/>
          <w:szCs w:val="24"/>
          <w:highlight w:val="none"/>
          <w:lang w:val="en-US" w:eastAsia="zh-CN" w:bidi="ar-SA"/>
        </w:rPr>
        <w:t>5、过滤设备的选择</w:t>
      </w:r>
    </w:p>
    <w:p w14:paraId="19063D44">
      <w:pPr>
        <w:numPr>
          <w:ilvl w:val="0"/>
          <w:numId w:val="0"/>
        </w:numPr>
        <w:tabs>
          <w:tab w:val="left" w:pos="3640"/>
        </w:tabs>
        <w:autoSpaceDE w:val="0"/>
        <w:autoSpaceDN w:val="0"/>
        <w:spacing w:line="360" w:lineRule="auto"/>
        <w:ind w:leftChars="0" w:firstLine="480" w:firstLineChars="200"/>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sz w:val="24"/>
          <w:highlight w:val="none"/>
        </w:rPr>
        <w:t>过滤设施的选型应视水源条件和灌水器要求水质标准而定，不同的灌溉方式过滤精度的要求：滴灌不低于120目，微喷灌不低于100目，喷灌应控制在75目以</w:t>
      </w:r>
      <w:r>
        <w:rPr>
          <w:rFonts w:hint="eastAsia" w:ascii="Times New Roman" w:hAnsi="Times New Roman" w:eastAsia="宋体" w:cs="Times New Roman"/>
          <w:color w:val="auto"/>
          <w:sz w:val="24"/>
          <w:highlight w:val="none"/>
          <w:lang w:val="en-US" w:eastAsia="zh-CN"/>
        </w:rPr>
        <w:t>上。</w:t>
      </w:r>
    </w:p>
    <w:p w14:paraId="429D1F24">
      <w:pPr>
        <w:numPr>
          <w:ilvl w:val="0"/>
          <w:numId w:val="0"/>
        </w:numPr>
        <w:tabs>
          <w:tab w:val="left" w:pos="3640"/>
        </w:tabs>
        <w:autoSpaceDE w:val="0"/>
        <w:autoSpaceDN w:val="0"/>
        <w:spacing w:line="360" w:lineRule="auto"/>
        <w:ind w:leftChars="0" w:firstLine="480" w:firstLineChars="200"/>
        <w:rPr>
          <w:rFonts w:hint="eastAsia" w:ascii="宋体" w:hAnsi="宋体" w:eastAsia="宋体" w:cs="宋体"/>
          <w:b w:val="0"/>
          <w:bCs w:val="0"/>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过滤器应符</w:t>
      </w:r>
      <w:r>
        <w:rPr>
          <w:rFonts w:hint="eastAsia" w:ascii="宋体" w:hAnsi="宋体" w:eastAsia="宋体" w:cs="宋体"/>
          <w:b w:val="0"/>
          <w:bCs w:val="0"/>
          <w:color w:val="auto"/>
          <w:kern w:val="2"/>
          <w:sz w:val="24"/>
          <w:szCs w:val="24"/>
          <w:highlight w:val="none"/>
          <w:lang w:val="en-US" w:eastAsia="zh-CN" w:bidi="ar-SA"/>
        </w:rPr>
        <w:t>合GB/T 18690.2-2017《农业灌溉设备 微灌用过滤器 第2部分：网式过滤器和叠片式过滤器》、GB/T 18690.4-2023《农业灌溉设备 微灌用过滤器 第4部分：颗粒介质过滤器》等</w:t>
      </w:r>
      <w:r>
        <w:rPr>
          <w:rFonts w:hint="eastAsia" w:ascii="Times New Roman" w:hAnsi="Times New Roman" w:eastAsia="宋体" w:cs="Times New Roman"/>
          <w:color w:val="auto"/>
          <w:kern w:val="2"/>
          <w:sz w:val="24"/>
          <w:szCs w:val="24"/>
          <w:highlight w:val="none"/>
          <w:lang w:val="en-US" w:eastAsia="zh-CN" w:bidi="ar-SA"/>
        </w:rPr>
        <w:t>国家标准（相关标准参照最新文件执行）</w:t>
      </w:r>
      <w:r>
        <w:rPr>
          <w:rFonts w:hint="eastAsia" w:asciiTheme="minorEastAsia" w:hAnsiTheme="minorEastAsia" w:eastAsiaTheme="minorEastAsia"/>
          <w:color w:val="auto"/>
          <w:sz w:val="24"/>
          <w:szCs w:val="24"/>
          <w:highlight w:val="none"/>
          <w:lang w:val="en-US" w:eastAsia="zh-CN"/>
        </w:rPr>
        <w:t>的有关规定和提供第三方检测报告</w:t>
      </w:r>
      <w:r>
        <w:rPr>
          <w:rFonts w:hint="eastAsia" w:asciiTheme="minorEastAsia" w:hAnsiTheme="minorEastAsia"/>
          <w:color w:val="auto"/>
          <w:sz w:val="24"/>
          <w:szCs w:val="24"/>
          <w:highlight w:val="none"/>
          <w:lang w:val="en-US" w:eastAsia="zh-CN"/>
        </w:rPr>
        <w:t>。</w:t>
      </w:r>
    </w:p>
    <w:p w14:paraId="0FBFE46C">
      <w:pPr>
        <w:numPr>
          <w:ilvl w:val="0"/>
          <w:numId w:val="0"/>
        </w:numPr>
        <w:tabs>
          <w:tab w:val="left" w:pos="3640"/>
        </w:tabs>
        <w:autoSpaceDE w:val="0"/>
        <w:autoSpaceDN w:val="0"/>
        <w:spacing w:line="360" w:lineRule="auto"/>
        <w:ind w:leftChars="0" w:firstLine="480" w:firstLineChars="200"/>
        <w:rPr>
          <w:color w:val="auto"/>
          <w:highlight w:val="none"/>
        </w:rPr>
      </w:pPr>
      <w:r>
        <w:rPr>
          <w:rFonts w:hint="eastAsia" w:ascii="宋体" w:hAnsi="宋体" w:eastAsia="宋体" w:cs="宋体"/>
          <w:b w:val="0"/>
          <w:bCs w:val="0"/>
          <w:color w:val="auto"/>
          <w:kern w:val="2"/>
          <w:sz w:val="24"/>
          <w:szCs w:val="24"/>
          <w:highlight w:val="none"/>
          <w:lang w:val="en-US" w:eastAsia="zh-CN" w:bidi="ar-SA"/>
        </w:rPr>
        <w:t xml:space="preserve">滴灌带应符合GB/T </w:t>
      </w:r>
      <w:r>
        <w:rPr>
          <w:rFonts w:hint="eastAsia" w:ascii="宋体" w:hAnsi="宋体" w:eastAsia="宋体" w:cs="宋体"/>
          <w:color w:val="auto"/>
          <w:kern w:val="2"/>
          <w:sz w:val="24"/>
          <w:szCs w:val="24"/>
          <w:highlight w:val="none"/>
          <w:lang w:val="en-US" w:eastAsia="zh-CN" w:bidi="ar-SA"/>
        </w:rPr>
        <w:t>19812.2-2017《塑料节水灌溉器材 第2部分：压力补偿式滴头及滴灌管》、GB/T 1981</w:t>
      </w:r>
      <w:r>
        <w:rPr>
          <w:rFonts w:hint="eastAsia" w:ascii="宋体" w:hAnsi="宋体" w:eastAsia="宋体" w:cs="宋体"/>
          <w:color w:val="auto"/>
          <w:sz w:val="24"/>
          <w:szCs w:val="24"/>
          <w:highlight w:val="none"/>
          <w:lang w:val="en-US" w:eastAsia="zh-CN"/>
        </w:rPr>
        <w:t>2.3-20</w:t>
      </w:r>
      <w:r>
        <w:rPr>
          <w:rFonts w:hint="eastAsia" w:cs="Times New Roman" w:asciiTheme="minorEastAsia" w:hAnsiTheme="minorEastAsia" w:eastAsiaTheme="minorEastAsia"/>
          <w:color w:val="auto"/>
          <w:sz w:val="24"/>
          <w:szCs w:val="24"/>
          <w:highlight w:val="none"/>
          <w:lang w:val="en-US" w:eastAsia="zh-CN"/>
        </w:rPr>
        <w:t>17《塑料节水灌溉器材 第3部分：内镶式滴灌管及滴灌带》</w:t>
      </w:r>
      <w:r>
        <w:rPr>
          <w:rFonts w:hint="eastAsia" w:ascii="Times New Roman" w:hAnsi="Times New Roman" w:eastAsia="宋体" w:cs="Times New Roman"/>
          <w:color w:val="auto"/>
          <w:kern w:val="2"/>
          <w:sz w:val="24"/>
          <w:szCs w:val="24"/>
          <w:highlight w:val="none"/>
          <w:lang w:val="en-US" w:eastAsia="zh-CN" w:bidi="ar-SA"/>
        </w:rPr>
        <w:t>等国家标准（相关标准参照最新文件执行）</w:t>
      </w:r>
      <w:r>
        <w:rPr>
          <w:rFonts w:hint="eastAsia" w:asciiTheme="minorEastAsia" w:hAnsiTheme="minorEastAsia" w:eastAsiaTheme="minorEastAsia"/>
          <w:color w:val="auto"/>
          <w:sz w:val="24"/>
          <w:szCs w:val="24"/>
          <w:highlight w:val="none"/>
          <w:lang w:val="en-US" w:eastAsia="zh-CN"/>
        </w:rPr>
        <w:t>的有关规定和提供第三方检测报告，严禁使用由废旧塑料制造的管材和管件。</w:t>
      </w:r>
    </w:p>
    <w:p w14:paraId="44E3622A">
      <w:pPr>
        <w:widowControl w:val="0"/>
        <w:numPr>
          <w:ilvl w:val="0"/>
          <w:numId w:val="0"/>
        </w:numPr>
        <w:spacing w:line="360" w:lineRule="auto"/>
        <w:ind w:leftChars="0"/>
        <w:jc w:val="both"/>
        <w:rPr>
          <w:rFonts w:ascii="宋体" w:hAnsi="宋体" w:eastAsia="宋体" w:cs="Times New Roman"/>
          <w:b/>
          <w:color w:val="auto"/>
          <w:kern w:val="2"/>
          <w:sz w:val="24"/>
          <w:szCs w:val="24"/>
          <w:highlight w:val="none"/>
          <w:lang w:val="en-US" w:eastAsia="zh-CN" w:bidi="ar-SA"/>
        </w:rPr>
      </w:pPr>
      <w:r>
        <w:rPr>
          <w:rFonts w:hint="eastAsia" w:ascii="宋体" w:hAnsi="宋体" w:eastAsia="宋体" w:cs="Times New Roman"/>
          <w:b/>
          <w:color w:val="auto"/>
          <w:kern w:val="2"/>
          <w:sz w:val="24"/>
          <w:szCs w:val="24"/>
          <w:highlight w:val="none"/>
          <w:lang w:val="en-US" w:eastAsia="zh-CN" w:bidi="ar-SA"/>
        </w:rPr>
        <w:t>6、量测、控制和保护设施及工作位置</w:t>
      </w:r>
    </w:p>
    <w:p w14:paraId="1D691CBE">
      <w:pPr>
        <w:spacing w:line="360" w:lineRule="auto"/>
        <w:ind w:firstLine="480" w:firstLineChars="200"/>
        <w:jc w:val="left"/>
        <w:rPr>
          <w:rFonts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量测设施主要指流量、压力测量仪表，用于首部枢纽和管道中的流量和压力测量。</w:t>
      </w:r>
    </w:p>
    <w:p w14:paraId="12505E0C">
      <w:pPr>
        <w:spacing w:line="360" w:lineRule="auto"/>
        <w:ind w:firstLine="480" w:firstLineChars="200"/>
        <w:jc w:val="left"/>
        <w:rPr>
          <w:rFonts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过滤器前后的压力表反应过滤器的堵塞程度。水表用来计量一段时间内管道的水流总量或灌溉水量。选用水表时期额定流量大于或接近于设计流量为宜。</w:t>
      </w:r>
    </w:p>
    <w:p w14:paraId="7C28DF22">
      <w:pPr>
        <w:spacing w:line="360" w:lineRule="auto"/>
        <w:ind w:firstLine="480" w:firstLineChars="200"/>
        <w:jc w:val="left"/>
        <w:rPr>
          <w:rFonts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控制设施一般包括各种阀门，如闸阀、球阀、蝶阀、流量与压力调节装置等，其作用是控制和调节灌溉系统的流量和压力。</w:t>
      </w:r>
    </w:p>
    <w:p w14:paraId="27A686EE">
      <w:pPr>
        <w:spacing w:line="360" w:lineRule="auto"/>
        <w:ind w:firstLine="480" w:firstLineChars="200"/>
        <w:jc w:val="left"/>
        <w:rPr>
          <w:rFonts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保护设施用来保证系统在规定压力范围内工作，消除管路中的气阻和真空等，一般有进（排）气阀、安全阀、逆止阀、泄水阀、空气阀等。</w:t>
      </w:r>
    </w:p>
    <w:p w14:paraId="38F08725">
      <w:pPr>
        <w:spacing w:line="360" w:lineRule="auto"/>
        <w:ind w:left="210" w:leftChars="100" w:firstLine="482" w:firstLineChars="200"/>
        <w:jc w:val="center"/>
        <w:rPr>
          <w:rFonts w:ascii="Times New Roman" w:hAnsi="Times New Roman" w:eastAsia="宋体" w:cs="Times New Roman"/>
          <w:b/>
          <w:color w:val="auto"/>
          <w:sz w:val="24"/>
          <w:highlight w:val="none"/>
        </w:rPr>
      </w:pPr>
      <w:r>
        <w:rPr>
          <w:rFonts w:hint="eastAsia" w:ascii="Times New Roman" w:hAnsi="Times New Roman" w:eastAsia="宋体" w:cs="Times New Roman"/>
          <w:b/>
          <w:color w:val="auto"/>
          <w:sz w:val="24"/>
          <w:highlight w:val="none"/>
        </w:rPr>
        <w:t>灌溉常用阀门作用与安装位置表</w:t>
      </w:r>
    </w:p>
    <w:tbl>
      <w:tblPr>
        <w:tblStyle w:val="4"/>
        <w:tblW w:w="83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48"/>
        <w:gridCol w:w="2111"/>
        <w:gridCol w:w="4712"/>
      </w:tblGrid>
      <w:tr w14:paraId="0B8F6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7" w:hRule="atLeast"/>
          <w:jc w:val="center"/>
        </w:trPr>
        <w:tc>
          <w:tcPr>
            <w:tcW w:w="1548" w:type="dxa"/>
            <w:noWrap w:val="0"/>
            <w:vAlign w:val="center"/>
          </w:tcPr>
          <w:p w14:paraId="0833D6E3">
            <w:pPr>
              <w:widowControl/>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阀门名称</w:t>
            </w:r>
          </w:p>
        </w:tc>
        <w:tc>
          <w:tcPr>
            <w:tcW w:w="2111" w:type="dxa"/>
            <w:noWrap w:val="0"/>
            <w:vAlign w:val="center"/>
          </w:tcPr>
          <w:p w14:paraId="74ED8DB1">
            <w:pPr>
              <w:widowControl/>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作用</w:t>
            </w:r>
          </w:p>
        </w:tc>
        <w:tc>
          <w:tcPr>
            <w:tcW w:w="4712" w:type="dxa"/>
            <w:noWrap w:val="0"/>
            <w:vAlign w:val="center"/>
          </w:tcPr>
          <w:p w14:paraId="661E088A">
            <w:pPr>
              <w:widowControl/>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安装位置</w:t>
            </w:r>
          </w:p>
        </w:tc>
      </w:tr>
      <w:tr w14:paraId="1F23B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548" w:type="dxa"/>
            <w:noWrap w:val="0"/>
            <w:vAlign w:val="center"/>
          </w:tcPr>
          <w:p w14:paraId="623B9E35">
            <w:pPr>
              <w:widowControl/>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闸阀或蝶阀</w:t>
            </w:r>
          </w:p>
        </w:tc>
        <w:tc>
          <w:tcPr>
            <w:tcW w:w="2111" w:type="dxa"/>
            <w:noWrap w:val="0"/>
            <w:vAlign w:val="center"/>
          </w:tcPr>
          <w:p w14:paraId="06F7E39D">
            <w:pPr>
              <w:widowControl/>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控制、调节</w:t>
            </w:r>
          </w:p>
        </w:tc>
        <w:tc>
          <w:tcPr>
            <w:tcW w:w="4712" w:type="dxa"/>
            <w:noWrap w:val="0"/>
            <w:vAlign w:val="center"/>
          </w:tcPr>
          <w:p w14:paraId="2A14BEA9">
            <w:pPr>
              <w:widowControl/>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在首部枢纽中水泵出口或跟干管进口处</w:t>
            </w:r>
          </w:p>
        </w:tc>
      </w:tr>
      <w:tr w14:paraId="4C136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548" w:type="dxa"/>
            <w:noWrap w:val="0"/>
            <w:vAlign w:val="center"/>
          </w:tcPr>
          <w:p w14:paraId="66D992F9">
            <w:pPr>
              <w:widowControl/>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球阀</w:t>
            </w:r>
          </w:p>
        </w:tc>
        <w:tc>
          <w:tcPr>
            <w:tcW w:w="2111" w:type="dxa"/>
            <w:noWrap w:val="0"/>
            <w:vAlign w:val="center"/>
          </w:tcPr>
          <w:p w14:paraId="443C25BA">
            <w:pPr>
              <w:widowControl/>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控制、调节</w:t>
            </w:r>
          </w:p>
        </w:tc>
        <w:tc>
          <w:tcPr>
            <w:tcW w:w="4712" w:type="dxa"/>
            <w:noWrap w:val="0"/>
            <w:vAlign w:val="center"/>
          </w:tcPr>
          <w:p w14:paraId="763497A9">
            <w:pPr>
              <w:widowControl/>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过滤器的冲洗口与排污口、施肥罐的进出水口、支管进口处</w:t>
            </w:r>
          </w:p>
        </w:tc>
      </w:tr>
      <w:tr w14:paraId="7FF09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3" w:hRule="atLeast"/>
          <w:jc w:val="center"/>
        </w:trPr>
        <w:tc>
          <w:tcPr>
            <w:tcW w:w="1548" w:type="dxa"/>
            <w:noWrap w:val="0"/>
            <w:vAlign w:val="center"/>
          </w:tcPr>
          <w:p w14:paraId="2256EB9B">
            <w:pPr>
              <w:widowControl/>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进排气阀</w:t>
            </w:r>
          </w:p>
        </w:tc>
        <w:tc>
          <w:tcPr>
            <w:tcW w:w="2111" w:type="dxa"/>
            <w:noWrap w:val="0"/>
            <w:vAlign w:val="center"/>
          </w:tcPr>
          <w:p w14:paraId="0DAF150E">
            <w:pPr>
              <w:widowControl/>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可以进气、排气，防止气阻或负压</w:t>
            </w:r>
          </w:p>
        </w:tc>
        <w:tc>
          <w:tcPr>
            <w:tcW w:w="4712" w:type="dxa"/>
            <w:noWrap w:val="0"/>
            <w:vAlign w:val="center"/>
          </w:tcPr>
          <w:p w14:paraId="1AFD3643">
            <w:pPr>
              <w:widowControl/>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安装在系统最高处</w:t>
            </w:r>
          </w:p>
        </w:tc>
      </w:tr>
      <w:tr w14:paraId="7D28D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548" w:type="dxa"/>
            <w:noWrap w:val="0"/>
            <w:vAlign w:val="center"/>
          </w:tcPr>
          <w:p w14:paraId="41B0CB8E">
            <w:pPr>
              <w:widowControl/>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逆止阀</w:t>
            </w:r>
          </w:p>
        </w:tc>
        <w:tc>
          <w:tcPr>
            <w:tcW w:w="2111" w:type="dxa"/>
            <w:noWrap w:val="0"/>
            <w:vAlign w:val="center"/>
          </w:tcPr>
          <w:p w14:paraId="72A625ED">
            <w:pPr>
              <w:widowControl/>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防止倒流</w:t>
            </w:r>
          </w:p>
        </w:tc>
        <w:tc>
          <w:tcPr>
            <w:tcW w:w="4712" w:type="dxa"/>
            <w:noWrap w:val="0"/>
            <w:vAlign w:val="center"/>
          </w:tcPr>
          <w:p w14:paraId="79D21790">
            <w:pPr>
              <w:widowControl/>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水泵出口处</w:t>
            </w:r>
          </w:p>
        </w:tc>
      </w:tr>
      <w:tr w14:paraId="64240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jc w:val="center"/>
        </w:trPr>
        <w:tc>
          <w:tcPr>
            <w:tcW w:w="1548" w:type="dxa"/>
            <w:noWrap w:val="0"/>
            <w:vAlign w:val="center"/>
          </w:tcPr>
          <w:p w14:paraId="0B761C41">
            <w:pPr>
              <w:widowControl/>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安全阀</w:t>
            </w:r>
          </w:p>
        </w:tc>
        <w:tc>
          <w:tcPr>
            <w:tcW w:w="2111" w:type="dxa"/>
            <w:noWrap w:val="0"/>
            <w:vAlign w:val="center"/>
          </w:tcPr>
          <w:p w14:paraId="494C6F34">
            <w:pPr>
              <w:widowControl/>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消除水锤压力</w:t>
            </w:r>
          </w:p>
        </w:tc>
        <w:tc>
          <w:tcPr>
            <w:tcW w:w="4712" w:type="dxa"/>
            <w:noWrap w:val="0"/>
            <w:vAlign w:val="center"/>
          </w:tcPr>
          <w:p w14:paraId="0C88E78B">
            <w:pPr>
              <w:widowControl/>
              <w:contextualSpacing/>
              <w:rPr>
                <w:rFonts w:ascii="宋体" w:hAnsi="宋体" w:eastAsia="宋体" w:cs="宋体"/>
                <w:color w:val="auto"/>
                <w:kern w:val="0"/>
                <w:szCs w:val="21"/>
                <w:highlight w:val="none"/>
              </w:rPr>
            </w:pPr>
            <w:r>
              <w:rPr>
                <w:rFonts w:hint="eastAsia" w:ascii="宋体" w:hAnsi="宋体" w:eastAsia="宋体" w:cs="宋体"/>
                <w:color w:val="auto"/>
                <w:kern w:val="0"/>
                <w:szCs w:val="21"/>
                <w:highlight w:val="none"/>
              </w:rPr>
              <w:t>安装于输水干管上</w:t>
            </w:r>
          </w:p>
        </w:tc>
      </w:tr>
    </w:tbl>
    <w:p w14:paraId="4D178387">
      <w:pPr>
        <w:widowControl w:val="0"/>
        <w:numPr>
          <w:ilvl w:val="0"/>
          <w:numId w:val="0"/>
        </w:numPr>
        <w:spacing w:line="360" w:lineRule="auto"/>
        <w:ind w:leftChars="0"/>
        <w:jc w:val="both"/>
        <w:rPr>
          <w:rFonts w:ascii="宋体" w:hAnsi="宋体" w:eastAsia="宋体" w:cs="Times New Roman"/>
          <w:b/>
          <w:color w:val="auto"/>
          <w:kern w:val="2"/>
          <w:sz w:val="24"/>
          <w:szCs w:val="24"/>
          <w:highlight w:val="none"/>
          <w:lang w:val="en-US" w:eastAsia="zh-CN" w:bidi="ar-SA"/>
        </w:rPr>
      </w:pPr>
      <w:r>
        <w:rPr>
          <w:rFonts w:hint="eastAsia" w:ascii="宋体" w:hAnsi="宋体" w:eastAsia="宋体" w:cs="Times New Roman"/>
          <w:b/>
          <w:color w:val="auto"/>
          <w:kern w:val="2"/>
          <w:sz w:val="24"/>
          <w:szCs w:val="24"/>
          <w:highlight w:val="none"/>
          <w:lang w:val="en-US" w:eastAsia="zh-CN" w:bidi="ar-SA"/>
        </w:rPr>
        <w:t>7、控制设备</w:t>
      </w:r>
    </w:p>
    <w:p w14:paraId="671E7CB2">
      <w:pPr>
        <w:spacing w:line="360" w:lineRule="auto"/>
        <w:ind w:firstLine="480" w:firstLineChars="200"/>
        <w:jc w:val="left"/>
        <w:rPr>
          <w:rFonts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水泵控制需采用变频恒压控制，有效降低能源消耗，节能环保；控制柜控制的水泵可单台和多台能同时启动，备用泵最少三个月能通电一次；同时工频变频的切换，变频器本身具备一拖多的功能，以备后期增加设备；主要电器元件以及变频器需选择国内或国外一线知名品牌；</w:t>
      </w:r>
    </w:p>
    <w:p w14:paraId="13976806">
      <w:pPr>
        <w:widowControl w:val="0"/>
        <w:numPr>
          <w:ilvl w:val="0"/>
          <w:numId w:val="0"/>
        </w:numPr>
        <w:spacing w:line="360" w:lineRule="auto"/>
        <w:ind w:firstLine="240" w:firstLineChars="100"/>
        <w:jc w:val="left"/>
        <w:rPr>
          <w:rFonts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（1）控制箱外观及内布线要求：</w:t>
      </w:r>
    </w:p>
    <w:p w14:paraId="18245BB7">
      <w:pPr>
        <w:widowControl w:val="0"/>
        <w:numPr>
          <w:ilvl w:val="0"/>
          <w:numId w:val="0"/>
        </w:numPr>
        <w:spacing w:line="360" w:lineRule="auto"/>
        <w:ind w:firstLine="240" w:firstLineChars="100"/>
        <w:jc w:val="left"/>
        <w:rPr>
          <w:rFonts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（2）外箱需有电压电流指示以及各泵运行停止指示，故障指示等相关显示；</w:t>
      </w:r>
    </w:p>
    <w:p w14:paraId="3A2B19AD">
      <w:pPr>
        <w:widowControl w:val="0"/>
        <w:numPr>
          <w:ilvl w:val="0"/>
          <w:numId w:val="0"/>
        </w:numPr>
        <w:spacing w:line="360" w:lineRule="auto"/>
        <w:ind w:firstLine="240" w:firstLineChars="100"/>
        <w:jc w:val="left"/>
        <w:rPr>
          <w:rFonts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（3）具有简洁的压力调节装置；</w:t>
      </w:r>
    </w:p>
    <w:p w14:paraId="3EEB644E">
      <w:pPr>
        <w:widowControl w:val="0"/>
        <w:numPr>
          <w:ilvl w:val="0"/>
          <w:numId w:val="0"/>
        </w:numPr>
        <w:spacing w:line="360" w:lineRule="auto"/>
        <w:ind w:firstLine="240" w:firstLineChars="100"/>
        <w:jc w:val="left"/>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 xml:space="preserve">（4）动力线和信号线必须分开走线，线路整洁。 </w:t>
      </w:r>
    </w:p>
    <w:p w14:paraId="31863054">
      <w:pPr>
        <w:widowControl w:val="0"/>
        <w:numPr>
          <w:ilvl w:val="0"/>
          <w:numId w:val="0"/>
        </w:numPr>
        <w:spacing w:line="360" w:lineRule="auto"/>
        <w:ind w:firstLine="240" w:firstLineChars="100"/>
        <w:jc w:val="left"/>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 xml:space="preserve">（5）变频器动力线要采用合适的线鼻子压紧或直接涮锡，然后接到动力端子上，并一定要拧紧，避免虚接，有标准接线图。 </w:t>
      </w:r>
    </w:p>
    <w:p w14:paraId="28311A92">
      <w:pPr>
        <w:widowControl w:val="0"/>
        <w:numPr>
          <w:ilvl w:val="0"/>
          <w:numId w:val="0"/>
        </w:numPr>
        <w:spacing w:line="360" w:lineRule="auto"/>
        <w:ind w:firstLine="240" w:firstLineChars="100"/>
        <w:jc w:val="left"/>
        <w:rPr>
          <w:rFonts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（6）强弱电控制要分开，需采用隔离模块。</w:t>
      </w:r>
      <w:r>
        <w:rPr>
          <w:rFonts w:ascii="Times New Roman" w:hAnsi="Times New Roman" w:eastAsia="宋体" w:cs="Times New Roman"/>
          <w:color w:val="auto"/>
          <w:kern w:val="2"/>
          <w:sz w:val="24"/>
          <w:szCs w:val="24"/>
          <w:highlight w:val="none"/>
          <w:lang w:val="en-US" w:eastAsia="zh-CN" w:bidi="ar-SA"/>
        </w:rPr>
        <w:t xml:space="preserve"> </w:t>
      </w:r>
    </w:p>
    <w:p w14:paraId="531365A5">
      <w:pPr>
        <w:widowControl w:val="0"/>
        <w:numPr>
          <w:ilvl w:val="0"/>
          <w:numId w:val="0"/>
        </w:numPr>
        <w:spacing w:line="360" w:lineRule="auto"/>
        <w:ind w:leftChars="0"/>
        <w:jc w:val="both"/>
        <w:rPr>
          <w:rFonts w:ascii="宋体" w:hAnsi="宋体" w:eastAsia="宋体" w:cs="Times New Roman"/>
          <w:b/>
          <w:color w:val="auto"/>
          <w:kern w:val="2"/>
          <w:sz w:val="24"/>
          <w:szCs w:val="24"/>
          <w:highlight w:val="none"/>
          <w:lang w:val="en-US" w:eastAsia="zh-CN" w:bidi="ar-SA"/>
        </w:rPr>
      </w:pPr>
      <w:r>
        <w:rPr>
          <w:rFonts w:hint="eastAsia" w:ascii="宋体" w:hAnsi="宋体" w:eastAsia="宋体" w:cs="Times New Roman"/>
          <w:b/>
          <w:color w:val="auto"/>
          <w:kern w:val="2"/>
          <w:sz w:val="24"/>
          <w:szCs w:val="24"/>
          <w:highlight w:val="none"/>
          <w:lang w:val="en-US" w:eastAsia="zh-CN" w:bidi="ar-SA"/>
        </w:rPr>
        <w:t>8、管网布局</w:t>
      </w:r>
    </w:p>
    <w:p w14:paraId="36B725BB">
      <w:pPr>
        <w:spacing w:line="360" w:lineRule="auto"/>
        <w:ind w:firstLine="480" w:firstLineChars="200"/>
        <w:jc w:val="left"/>
        <w:rPr>
          <w:rFonts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输配水管网应由干管、支管、毛管组成，其设计应根据水源位置、地形、灌溉面积、用水量等情况分级布局，密切与排水系统、道路、林带、供电系统及居民点的规划相结合，并符合以下要求：</w:t>
      </w:r>
    </w:p>
    <w:p w14:paraId="57BA26CB">
      <w:pPr>
        <w:widowControl w:val="0"/>
        <w:numPr>
          <w:ilvl w:val="0"/>
          <w:numId w:val="2"/>
        </w:numPr>
        <w:spacing w:line="360" w:lineRule="auto"/>
        <w:ind w:leftChars="0" w:firstLine="240" w:firstLineChars="100"/>
        <w:jc w:val="left"/>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管道布置应尽量考虑与农业管理体制的范围相一致，有利于进行轮灌，并能迅速分散流量，以便于管理。</w:t>
      </w:r>
    </w:p>
    <w:p w14:paraId="2FC0A2F8">
      <w:pPr>
        <w:widowControl w:val="0"/>
        <w:numPr>
          <w:ilvl w:val="0"/>
          <w:numId w:val="2"/>
        </w:numPr>
        <w:spacing w:line="360" w:lineRule="auto"/>
        <w:ind w:leftChars="0" w:firstLine="240" w:firstLineChars="100"/>
        <w:jc w:val="left"/>
        <w:rPr>
          <w:rFonts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干管优先沿着道路、沟渠和耕地边界等方便埋填、检修的区域设计，尽可能避开软弱地基和承压水分布区。</w:t>
      </w:r>
    </w:p>
    <w:p w14:paraId="3E33AACD">
      <w:pPr>
        <w:widowControl w:val="0"/>
        <w:numPr>
          <w:ilvl w:val="0"/>
          <w:numId w:val="2"/>
        </w:numPr>
        <w:spacing w:line="360" w:lineRule="auto"/>
        <w:ind w:leftChars="0" w:firstLine="240" w:firstLineChars="100"/>
        <w:jc w:val="left"/>
        <w:rPr>
          <w:rFonts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管线的纵剖面应力求平顺，减少折点，并尽量避免管线出现驼峰，有较大起伏时避免产生负压。</w:t>
      </w:r>
    </w:p>
    <w:p w14:paraId="613AAA3E">
      <w:pPr>
        <w:widowControl w:val="0"/>
        <w:numPr>
          <w:ilvl w:val="0"/>
          <w:numId w:val="2"/>
        </w:numPr>
        <w:spacing w:line="360" w:lineRule="auto"/>
        <w:ind w:leftChars="0" w:firstLine="240" w:firstLineChars="100"/>
        <w:jc w:val="left"/>
        <w:rPr>
          <w:rFonts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穿路管道需配套保护套管，过桥管道需配套支撑固定配件。</w:t>
      </w:r>
    </w:p>
    <w:p w14:paraId="231B8CA8">
      <w:pPr>
        <w:widowControl w:val="0"/>
        <w:numPr>
          <w:ilvl w:val="0"/>
          <w:numId w:val="2"/>
        </w:numPr>
        <w:spacing w:line="360" w:lineRule="auto"/>
        <w:ind w:leftChars="0" w:firstLine="240" w:firstLineChars="100"/>
        <w:jc w:val="left"/>
        <w:rPr>
          <w:rFonts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在主管道轴线起伏段的高处和向下弯处应设置进排气设施，在管轴线起伏段的低处和管道系统的最低处宜设置泄水阀。</w:t>
      </w:r>
    </w:p>
    <w:p w14:paraId="060F47B5">
      <w:pPr>
        <w:widowControl w:val="0"/>
        <w:numPr>
          <w:ilvl w:val="0"/>
          <w:numId w:val="0"/>
        </w:numPr>
        <w:spacing w:line="360" w:lineRule="auto"/>
        <w:ind w:leftChars="0"/>
        <w:jc w:val="both"/>
        <w:rPr>
          <w:rFonts w:ascii="宋体" w:hAnsi="宋体" w:eastAsia="宋体" w:cs="Times New Roman"/>
          <w:b/>
          <w:color w:val="auto"/>
          <w:kern w:val="2"/>
          <w:sz w:val="24"/>
          <w:szCs w:val="24"/>
          <w:highlight w:val="none"/>
          <w:lang w:val="en-US" w:eastAsia="zh-CN" w:bidi="ar-SA"/>
        </w:rPr>
      </w:pPr>
      <w:r>
        <w:rPr>
          <w:rFonts w:hint="eastAsia" w:ascii="宋体" w:hAnsi="宋体" w:eastAsia="宋体" w:cs="Times New Roman"/>
          <w:b/>
          <w:color w:val="auto"/>
          <w:kern w:val="2"/>
          <w:sz w:val="24"/>
          <w:szCs w:val="24"/>
          <w:highlight w:val="none"/>
          <w:lang w:val="en-US" w:eastAsia="zh-CN" w:bidi="ar-SA"/>
        </w:rPr>
        <w:t>9、管材选择</w:t>
      </w:r>
    </w:p>
    <w:p w14:paraId="5D37C4AC">
      <w:pPr>
        <w:spacing w:line="360" w:lineRule="auto"/>
        <w:ind w:firstLine="480" w:firstLineChars="200"/>
        <w:jc w:val="left"/>
        <w:rPr>
          <w:rFonts w:hint="eastAsia"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首部常用钢制管道，</w:t>
      </w:r>
      <w:r>
        <w:rPr>
          <w:rFonts w:hint="eastAsia" w:ascii="Times New Roman" w:hAnsi="Times New Roman" w:eastAsia="宋体" w:cs="Times New Roman"/>
          <w:color w:val="auto"/>
          <w:sz w:val="24"/>
          <w:highlight w:val="none"/>
          <w:lang w:eastAsia="zh-CN"/>
        </w:rPr>
        <w:t>园区</w:t>
      </w:r>
      <w:r>
        <w:rPr>
          <w:rFonts w:hint="eastAsia" w:ascii="Times New Roman" w:hAnsi="Times New Roman" w:eastAsia="宋体" w:cs="Times New Roman"/>
          <w:color w:val="auto"/>
          <w:sz w:val="24"/>
          <w:highlight w:val="none"/>
        </w:rPr>
        <w:t>管道可选择PVC-U管、HDPE热熔管、LDPE盘管。</w:t>
      </w:r>
    </w:p>
    <w:p w14:paraId="762ADB83">
      <w:pPr>
        <w:numPr>
          <w:ilvl w:val="0"/>
          <w:numId w:val="3"/>
        </w:numPr>
        <w:spacing w:line="360" w:lineRule="auto"/>
        <w:ind w:firstLine="240" w:firstLineChars="100"/>
        <w:jc w:val="left"/>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主管道承压必需≥0.8MPa，支管道承压必需≥0.6MPa</w:t>
      </w:r>
    </w:p>
    <w:p w14:paraId="08B71657">
      <w:pPr>
        <w:numPr>
          <w:ilvl w:val="0"/>
          <w:numId w:val="3"/>
        </w:numPr>
        <w:spacing w:line="360" w:lineRule="auto"/>
        <w:ind w:firstLine="240" w:firstLineChars="100"/>
        <w:jc w:val="left"/>
        <w:rPr>
          <w:rFonts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输配水管网的管道需符合系统设计要求，并应不透光，抗老化，施工方便，连接牢固可靠。</w:t>
      </w:r>
    </w:p>
    <w:p w14:paraId="75F7520E">
      <w:pPr>
        <w:numPr>
          <w:ilvl w:val="0"/>
          <w:numId w:val="3"/>
        </w:numPr>
        <w:spacing w:line="360" w:lineRule="auto"/>
        <w:ind w:firstLine="240" w:firstLineChars="100"/>
        <w:jc w:val="left"/>
        <w:rPr>
          <w:rFonts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管道和管件的流通应平顺、光滑。</w:t>
      </w:r>
    </w:p>
    <w:p w14:paraId="35C78F7C">
      <w:pPr>
        <w:numPr>
          <w:ilvl w:val="0"/>
          <w:numId w:val="3"/>
        </w:numPr>
        <w:spacing w:line="360" w:lineRule="auto"/>
        <w:ind w:firstLine="240" w:firstLineChars="100"/>
        <w:jc w:val="left"/>
        <w:rPr>
          <w:rFonts w:ascii="Times New Roman" w:hAnsi="Times New Roman" w:eastAsia="宋体" w:cs="Times New Roman"/>
          <w:color w:val="auto"/>
          <w:kern w:val="2"/>
          <w:sz w:val="24"/>
          <w:szCs w:val="24"/>
          <w:highlight w:val="none"/>
          <w:lang w:val="en-US" w:eastAsia="zh-CN" w:bidi="ar-SA"/>
        </w:rPr>
      </w:pPr>
      <w:r>
        <w:rPr>
          <w:rFonts w:hint="eastAsia" w:asciiTheme="minorEastAsia" w:hAnsiTheme="minorEastAsia" w:eastAsiaTheme="minorEastAsia"/>
          <w:color w:val="auto"/>
          <w:sz w:val="24"/>
          <w:szCs w:val="24"/>
          <w:highlight w:val="none"/>
          <w:lang w:val="en-US" w:eastAsia="zh-CN"/>
        </w:rPr>
        <w:t>管材应</w:t>
      </w:r>
      <w:r>
        <w:rPr>
          <w:rFonts w:hint="eastAsia" w:asciiTheme="minorEastAsia" w:hAnsiTheme="minorEastAsia"/>
          <w:color w:val="auto"/>
          <w:sz w:val="24"/>
          <w:szCs w:val="24"/>
          <w:highlight w:val="none"/>
          <w:lang w:val="en-US" w:eastAsia="zh-CN"/>
        </w:rPr>
        <w:t>采用全新料制作，</w:t>
      </w:r>
      <w:r>
        <w:rPr>
          <w:rFonts w:hint="eastAsia" w:asciiTheme="minorEastAsia" w:hAnsiTheme="minorEastAsia" w:eastAsiaTheme="minorEastAsia"/>
          <w:color w:val="auto"/>
          <w:sz w:val="24"/>
          <w:szCs w:val="24"/>
          <w:highlight w:val="none"/>
          <w:lang w:val="en-US" w:eastAsia="zh-CN"/>
        </w:rPr>
        <w:t>符合</w:t>
      </w:r>
      <w:r>
        <w:rPr>
          <w:rFonts w:hint="eastAsia" w:cs="Times New Roman" w:asciiTheme="minorEastAsia" w:hAnsiTheme="minorEastAsia" w:eastAsiaTheme="minorEastAsia"/>
          <w:color w:val="auto"/>
          <w:sz w:val="24"/>
          <w:szCs w:val="24"/>
          <w:highlight w:val="none"/>
          <w:lang w:val="en-US" w:eastAsia="zh-CN"/>
        </w:rPr>
        <w:t>GB/T10002·1-2023《给水用硬聚氯乙烯（PVC-U）管材》、GB/T13663.2-2018《给水用聚乙烯（PE）管材》、GB/T 19812.6-2022《塑料节水灌溉器材 第6部分：输水用聚乙烯（PE）管材》等国家标准（相关标准参照最新文件执行）的有关规定和提供第三方检测报告，PE聚乙烯</w:t>
      </w:r>
      <w:r>
        <w:rPr>
          <w:rFonts w:hint="eastAsia" w:cs="Times New Roman" w:asciiTheme="minorEastAsia" w:hAnsiTheme="minorEastAsia"/>
          <w:color w:val="auto"/>
          <w:sz w:val="24"/>
          <w:szCs w:val="24"/>
          <w:highlight w:val="none"/>
          <w:lang w:val="en-US" w:eastAsia="zh-CN"/>
        </w:rPr>
        <w:t>应为</w:t>
      </w:r>
      <w:r>
        <w:rPr>
          <w:rFonts w:hint="eastAsia" w:cs="Times New Roman" w:asciiTheme="minorEastAsia" w:hAnsiTheme="minorEastAsia" w:eastAsiaTheme="minorEastAsia"/>
          <w:color w:val="auto"/>
          <w:sz w:val="24"/>
          <w:szCs w:val="24"/>
          <w:highlight w:val="none"/>
          <w:lang w:val="en-US" w:eastAsia="zh-CN"/>
        </w:rPr>
        <w:t>全新原生料</w:t>
      </w:r>
      <w:r>
        <w:rPr>
          <w:rFonts w:hint="eastAsia" w:cs="Times New Roman" w:asciiTheme="minorEastAsia" w:hAnsiTheme="minorEastAsia"/>
          <w:color w:val="auto"/>
          <w:sz w:val="24"/>
          <w:szCs w:val="24"/>
          <w:highlight w:val="none"/>
          <w:lang w:val="en-US" w:eastAsia="zh-CN"/>
        </w:rPr>
        <w:t>，</w:t>
      </w:r>
      <w:r>
        <w:rPr>
          <w:rFonts w:hint="eastAsia" w:cs="Times New Roman" w:asciiTheme="minorEastAsia" w:hAnsiTheme="minorEastAsia" w:eastAsiaTheme="minorEastAsia"/>
          <w:color w:val="auto"/>
          <w:sz w:val="24"/>
          <w:szCs w:val="24"/>
          <w:highlight w:val="none"/>
          <w:lang w:val="en-US" w:eastAsia="zh-CN"/>
        </w:rPr>
        <w:t>严</w:t>
      </w:r>
      <w:r>
        <w:rPr>
          <w:rFonts w:hint="eastAsia" w:asciiTheme="minorEastAsia" w:hAnsiTheme="minorEastAsia" w:eastAsiaTheme="minorEastAsia"/>
          <w:color w:val="auto"/>
          <w:sz w:val="24"/>
          <w:szCs w:val="24"/>
          <w:highlight w:val="none"/>
          <w:lang w:val="en-US" w:eastAsia="zh-CN"/>
        </w:rPr>
        <w:t>禁使用由废旧塑料制造的管材和管件。</w:t>
      </w:r>
    </w:p>
    <w:p w14:paraId="6A08BCE1">
      <w:pPr>
        <w:widowControl w:val="0"/>
        <w:numPr>
          <w:ilvl w:val="0"/>
          <w:numId w:val="0"/>
        </w:numPr>
        <w:spacing w:line="360" w:lineRule="auto"/>
        <w:ind w:leftChars="0"/>
        <w:jc w:val="both"/>
        <w:rPr>
          <w:rFonts w:ascii="宋体" w:hAnsi="宋体" w:eastAsia="宋体" w:cs="Times New Roman"/>
          <w:b/>
          <w:color w:val="auto"/>
          <w:kern w:val="2"/>
          <w:sz w:val="24"/>
          <w:szCs w:val="24"/>
          <w:highlight w:val="none"/>
          <w:lang w:val="en-US" w:eastAsia="zh-CN" w:bidi="ar-SA"/>
        </w:rPr>
      </w:pPr>
      <w:r>
        <w:rPr>
          <w:rFonts w:hint="eastAsia" w:ascii="宋体" w:hAnsi="宋体" w:eastAsia="宋体" w:cs="Times New Roman"/>
          <w:b/>
          <w:color w:val="auto"/>
          <w:kern w:val="2"/>
          <w:sz w:val="24"/>
          <w:szCs w:val="24"/>
          <w:highlight w:val="none"/>
          <w:lang w:val="en-US" w:eastAsia="zh-CN" w:bidi="ar-SA"/>
        </w:rPr>
        <w:t>10、管径选择及管网压力设计</w:t>
      </w:r>
    </w:p>
    <w:p w14:paraId="65ABBAA6">
      <w:pPr>
        <w:widowControl w:val="0"/>
        <w:tabs>
          <w:tab w:val="left" w:pos="284"/>
        </w:tabs>
        <w:spacing w:line="360" w:lineRule="auto"/>
        <w:ind w:firstLine="480" w:firstLineChars="200"/>
        <w:jc w:val="left"/>
        <w:rPr>
          <w:rFonts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各级管道的管径应根据其工作时的输水流量，结合管道末端的输水压力共同确定，以使支管（或毛管）的出口压力基本一致，从而使整个灌区灌水均匀。</w:t>
      </w:r>
    </w:p>
    <w:p w14:paraId="70703A22">
      <w:pPr>
        <w:widowControl w:val="0"/>
        <w:numPr>
          <w:ilvl w:val="0"/>
          <w:numId w:val="0"/>
        </w:numPr>
        <w:spacing w:line="360" w:lineRule="auto"/>
        <w:ind w:leftChars="0"/>
        <w:jc w:val="both"/>
        <w:rPr>
          <w:rFonts w:ascii="宋体" w:hAnsi="宋体" w:eastAsia="宋体" w:cs="Times New Roman"/>
          <w:b/>
          <w:color w:val="auto"/>
          <w:kern w:val="2"/>
          <w:sz w:val="24"/>
          <w:szCs w:val="24"/>
          <w:highlight w:val="none"/>
          <w:lang w:val="en-US" w:eastAsia="zh-CN" w:bidi="ar-SA"/>
        </w:rPr>
      </w:pPr>
      <w:r>
        <w:rPr>
          <w:rFonts w:hint="eastAsia" w:ascii="宋体" w:hAnsi="宋体" w:eastAsia="宋体" w:cs="Times New Roman"/>
          <w:b/>
          <w:color w:val="auto"/>
          <w:kern w:val="2"/>
          <w:sz w:val="24"/>
          <w:szCs w:val="24"/>
          <w:highlight w:val="none"/>
          <w:lang w:val="en-US" w:eastAsia="zh-CN" w:bidi="ar-SA"/>
        </w:rPr>
        <w:t>11、 灌溉水肥一体化设备的选择</w:t>
      </w:r>
    </w:p>
    <w:p w14:paraId="5B604929">
      <w:pPr>
        <w:spacing w:line="360" w:lineRule="auto"/>
        <w:ind w:firstLine="480" w:firstLineChars="200"/>
        <w:jc w:val="left"/>
        <w:rPr>
          <w:rFonts w:ascii="Times New Roman" w:hAnsi="Times New Roman" w:eastAsia="宋体" w:cs="Times New Roman"/>
          <w:color w:val="auto"/>
          <w:sz w:val="24"/>
          <w:highlight w:val="none"/>
        </w:rPr>
      </w:pPr>
      <w:r>
        <w:rPr>
          <w:rFonts w:hint="eastAsia" w:ascii="Times New Roman" w:hAnsi="Times New Roman" w:eastAsia="宋体" w:cs="Times New Roman"/>
          <w:color w:val="auto"/>
          <w:sz w:val="24"/>
          <w:highlight w:val="none"/>
        </w:rPr>
        <w:t>水肥一体化设备的选择是根据现场的灌溉形式、种植面积、作物种类，选择不同的施肥设备。根据种植作物的种类和现场实际情况可选择设备安装在</w:t>
      </w:r>
      <w:r>
        <w:rPr>
          <w:rFonts w:hint="eastAsia" w:ascii="Times New Roman" w:hAnsi="Times New Roman" w:eastAsia="宋体" w:cs="Times New Roman"/>
          <w:color w:val="auto"/>
          <w:sz w:val="24"/>
          <w:highlight w:val="none"/>
          <w:lang w:eastAsia="zh-CN"/>
        </w:rPr>
        <w:t>园区</w:t>
      </w:r>
      <w:r>
        <w:rPr>
          <w:rFonts w:hint="eastAsia" w:ascii="Times New Roman" w:hAnsi="Times New Roman" w:eastAsia="宋体" w:cs="Times New Roman"/>
          <w:color w:val="auto"/>
          <w:sz w:val="24"/>
          <w:highlight w:val="none"/>
        </w:rPr>
        <w:t>或首部位置，也可以根据需要选择移动式的水肥一体化设备。</w:t>
      </w:r>
    </w:p>
    <w:p w14:paraId="73474EAD">
      <w:pPr>
        <w:keepNext/>
        <w:keepLines/>
        <w:widowControl w:val="0"/>
        <w:spacing w:line="360" w:lineRule="auto"/>
        <w:jc w:val="left"/>
        <w:outlineLvl w:val="1"/>
        <w:rPr>
          <w:rFonts w:ascii="Cambria" w:hAnsi="Cambria" w:eastAsia="宋体" w:cs="Times New Roman"/>
          <w:b/>
          <w:bCs/>
          <w:color w:val="auto"/>
          <w:kern w:val="2"/>
          <w:sz w:val="28"/>
          <w:szCs w:val="32"/>
          <w:highlight w:val="none"/>
          <w:lang w:val="en-US" w:eastAsia="zh-CN" w:bidi="ar-SA"/>
        </w:rPr>
      </w:pPr>
      <w:r>
        <w:rPr>
          <w:rFonts w:hint="eastAsia" w:ascii="Cambria" w:hAnsi="Cambria" w:eastAsia="宋体" w:cs="Times New Roman"/>
          <w:b/>
          <w:bCs/>
          <w:color w:val="auto"/>
          <w:kern w:val="2"/>
          <w:sz w:val="28"/>
          <w:szCs w:val="32"/>
          <w:highlight w:val="none"/>
          <w:lang w:val="en-US" w:eastAsia="zh-CN" w:bidi="ar-SA"/>
        </w:rPr>
        <w:t>五、其他要求</w:t>
      </w:r>
    </w:p>
    <w:p w14:paraId="270E9C05">
      <w:pPr>
        <w:spacing w:line="360" w:lineRule="auto"/>
        <w:ind w:firstLine="480" w:firstLineChars="200"/>
        <w:rPr>
          <w:rFonts w:ascii="宋体" w:hAnsi="宋体" w:eastAsia="宋体" w:cs="Times New Roman"/>
          <w:bCs/>
          <w:color w:val="auto"/>
          <w:sz w:val="24"/>
          <w:highlight w:val="none"/>
        </w:rPr>
      </w:pPr>
      <w:r>
        <w:rPr>
          <w:rFonts w:hint="eastAsia" w:ascii="宋体" w:hAnsi="宋体" w:eastAsia="宋体" w:cs="Times New Roman"/>
          <w:bCs/>
          <w:color w:val="auto"/>
          <w:sz w:val="24"/>
          <w:highlight w:val="none"/>
          <w:lang w:val="en-US" w:eastAsia="zh-CN"/>
        </w:rPr>
        <w:t>1、</w:t>
      </w:r>
      <w:r>
        <w:rPr>
          <w:rFonts w:hint="eastAsia" w:ascii="宋体" w:hAnsi="宋体" w:eastAsia="宋体" w:cs="Times New Roman"/>
          <w:bCs/>
          <w:color w:val="auto"/>
          <w:sz w:val="24"/>
          <w:highlight w:val="none"/>
        </w:rPr>
        <w:t>本技术规格和技术规范所列货物的技术、功能作为供应商报价参考。供应商所提供的货物在技术与功能等方面应等同于或高于上述技术、功能要求。</w:t>
      </w:r>
    </w:p>
    <w:p w14:paraId="0722FAD6">
      <w:pPr>
        <w:spacing w:line="360" w:lineRule="auto"/>
        <w:ind w:firstLine="480" w:firstLineChars="200"/>
        <w:rPr>
          <w:rFonts w:ascii="宋体" w:hAnsi="宋体" w:eastAsia="宋体" w:cs="宋体"/>
          <w:color w:val="auto"/>
          <w:kern w:val="0"/>
          <w:sz w:val="24"/>
          <w:highlight w:val="none"/>
        </w:rPr>
      </w:pPr>
      <w:r>
        <w:rPr>
          <w:rFonts w:hint="eastAsia" w:ascii="宋体" w:hAnsi="宋体" w:eastAsia="宋体" w:cs="Times New Roman"/>
          <w:bCs/>
          <w:color w:val="auto"/>
          <w:sz w:val="24"/>
          <w:highlight w:val="none"/>
        </w:rPr>
        <w:t>本技术规格和技术规范提出的各项功能要求和技术指标是对本项目的最基本要求，并未对一切细节做出全部详细规定，也未充分引述有关标准和规范的条文，供应商所有与本项目有关的技术标准均应不低于报价时已颁布的国家和行业标准，或相应的国际标准的有关条文。使用最新的专利和保密专利需特别说明。</w:t>
      </w:r>
    </w:p>
    <w:p w14:paraId="789EFBA4">
      <w:pPr>
        <w:widowControl w:val="0"/>
        <w:numPr>
          <w:ilvl w:val="0"/>
          <w:numId w:val="0"/>
        </w:numPr>
        <w:spacing w:line="360" w:lineRule="auto"/>
        <w:ind w:firstLine="482" w:firstLineChars="200"/>
        <w:jc w:val="left"/>
        <w:rPr>
          <w:rFonts w:ascii="宋体" w:hAnsi="宋体" w:eastAsia="宋体" w:cs="Times New Roman"/>
          <w:b/>
          <w:color w:val="auto"/>
          <w:kern w:val="2"/>
          <w:sz w:val="24"/>
          <w:szCs w:val="24"/>
          <w:highlight w:val="none"/>
          <w:lang w:val="en-US" w:eastAsia="zh-CN" w:bidi="ar-SA"/>
        </w:rPr>
      </w:pPr>
      <w:r>
        <w:rPr>
          <w:rFonts w:hint="eastAsia" w:ascii="宋体" w:hAnsi="宋体" w:eastAsia="宋体" w:cs="Times New Roman"/>
          <w:b/>
          <w:color w:val="auto"/>
          <w:kern w:val="2"/>
          <w:sz w:val="24"/>
          <w:szCs w:val="24"/>
          <w:highlight w:val="none"/>
          <w:lang w:val="en-US" w:eastAsia="zh-CN" w:bidi="ar-SA"/>
        </w:rPr>
        <w:t>2、质量保证</w:t>
      </w:r>
    </w:p>
    <w:p w14:paraId="7F1C5BF8">
      <w:pPr>
        <w:spacing w:line="360" w:lineRule="auto"/>
        <w:ind w:firstLine="240" w:firstLineChars="100"/>
        <w:jc w:val="left"/>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eastAsia="zh-CN"/>
        </w:rPr>
        <w:t>（</w:t>
      </w:r>
      <w:r>
        <w:rPr>
          <w:rFonts w:hint="eastAsia" w:ascii="宋体" w:hAnsi="宋体" w:eastAsia="宋体" w:cs="Times New Roman"/>
          <w:color w:val="auto"/>
          <w:sz w:val="24"/>
          <w:highlight w:val="none"/>
          <w:lang w:val="en-US" w:eastAsia="zh-CN"/>
        </w:rPr>
        <w:t>1</w:t>
      </w:r>
      <w:r>
        <w:rPr>
          <w:rFonts w:hint="eastAsia" w:ascii="宋体" w:hAnsi="宋体" w:eastAsia="宋体" w:cs="Times New Roman"/>
          <w:color w:val="auto"/>
          <w:sz w:val="24"/>
          <w:highlight w:val="none"/>
          <w:lang w:eastAsia="zh-CN"/>
        </w:rPr>
        <w:t>）</w:t>
      </w:r>
      <w:r>
        <w:rPr>
          <w:rFonts w:hint="eastAsia" w:ascii="宋体" w:hAnsi="宋体" w:eastAsia="宋体" w:cs="Times New Roman"/>
          <w:color w:val="auto"/>
          <w:sz w:val="24"/>
          <w:highlight w:val="none"/>
        </w:rPr>
        <w:t>投标人应保证所供货物是全新的、未使用过的，并完全符合合同规定的质量、规格和性能的要求。保证其货物在正确安装、正常使用和保养条件下，在其使用寿命期内应具有满意的性能。在货物最终交付验收后不少于12个月的质量保证期内，应对由于设计、工艺或材料的缺陷而产生的故障负责。</w:t>
      </w:r>
    </w:p>
    <w:p w14:paraId="10D37F62">
      <w:pPr>
        <w:spacing w:line="360" w:lineRule="auto"/>
        <w:ind w:firstLine="240" w:firstLineChars="100"/>
        <w:jc w:val="left"/>
        <w:rPr>
          <w:rFonts w:ascii="宋体" w:hAnsi="宋体" w:eastAsia="宋体" w:cs="Times New Roman"/>
          <w:color w:val="auto"/>
          <w:sz w:val="24"/>
          <w:highlight w:val="none"/>
        </w:rPr>
      </w:pPr>
      <w:r>
        <w:rPr>
          <w:rFonts w:hint="eastAsia" w:ascii="宋体" w:hAnsi="宋体" w:eastAsia="宋体" w:cs="Times New Roman"/>
          <w:color w:val="auto"/>
          <w:sz w:val="24"/>
          <w:highlight w:val="none"/>
          <w:lang w:eastAsia="zh-CN"/>
        </w:rPr>
        <w:t>（</w:t>
      </w:r>
      <w:r>
        <w:rPr>
          <w:rFonts w:hint="eastAsia" w:ascii="宋体" w:hAnsi="宋体" w:eastAsia="宋体" w:cs="Times New Roman"/>
          <w:color w:val="auto"/>
          <w:sz w:val="24"/>
          <w:highlight w:val="none"/>
          <w:lang w:val="en-US" w:eastAsia="zh-CN"/>
        </w:rPr>
        <w:t>2</w:t>
      </w:r>
      <w:r>
        <w:rPr>
          <w:rFonts w:hint="eastAsia" w:ascii="宋体" w:hAnsi="宋体" w:eastAsia="宋体" w:cs="Times New Roman"/>
          <w:color w:val="auto"/>
          <w:sz w:val="24"/>
          <w:highlight w:val="none"/>
          <w:lang w:eastAsia="zh-CN"/>
        </w:rPr>
        <w:t>）</w:t>
      </w:r>
      <w:r>
        <w:rPr>
          <w:rFonts w:hint="eastAsia" w:ascii="宋体" w:hAnsi="宋体" w:eastAsia="宋体" w:cs="Times New Roman"/>
          <w:color w:val="auto"/>
          <w:sz w:val="24"/>
          <w:highlight w:val="none"/>
        </w:rPr>
        <w:t>投标人应在质量保证期内，如果货物的质量或规格与合同不符，或证实货物是有缺陷的，包括潜在的缺陷或使用不符合要求的材料等，</w:t>
      </w:r>
      <w:r>
        <w:rPr>
          <w:rFonts w:hint="eastAsia" w:ascii="宋体" w:hAnsi="宋体" w:eastAsia="宋体" w:cs="Times New Roman"/>
          <w:color w:val="auto"/>
          <w:sz w:val="24"/>
          <w:highlight w:val="none"/>
          <w:lang w:eastAsia="zh-CN"/>
        </w:rPr>
        <w:t>招标人</w:t>
      </w:r>
      <w:r>
        <w:rPr>
          <w:rFonts w:hint="eastAsia" w:ascii="宋体" w:hAnsi="宋体" w:eastAsia="宋体" w:cs="Times New Roman"/>
          <w:color w:val="auto"/>
          <w:sz w:val="24"/>
          <w:highlight w:val="none"/>
        </w:rPr>
        <w:t>有权向成交人提出补救措施或索赔。</w:t>
      </w:r>
    </w:p>
    <w:p w14:paraId="03F5A44A">
      <w:pPr>
        <w:spacing w:line="360" w:lineRule="auto"/>
        <w:ind w:firstLine="240" w:firstLineChars="100"/>
        <w:jc w:val="left"/>
        <w:rPr>
          <w:rFonts w:ascii="宋体" w:hAnsi="宋体" w:eastAsia="宋体" w:cs="Times New Roman"/>
          <w:b/>
          <w:color w:val="auto"/>
          <w:sz w:val="24"/>
          <w:highlight w:val="none"/>
        </w:rPr>
      </w:pPr>
      <w:r>
        <w:rPr>
          <w:rFonts w:hint="eastAsia" w:ascii="宋体" w:hAnsi="宋体" w:eastAsia="宋体" w:cs="Times New Roman"/>
          <w:color w:val="auto"/>
          <w:sz w:val="24"/>
          <w:highlight w:val="none"/>
          <w:lang w:eastAsia="zh-CN"/>
        </w:rPr>
        <w:t>（</w:t>
      </w:r>
      <w:r>
        <w:rPr>
          <w:rFonts w:hint="eastAsia" w:ascii="宋体" w:hAnsi="宋体" w:eastAsia="宋体" w:cs="Times New Roman"/>
          <w:color w:val="auto"/>
          <w:sz w:val="24"/>
          <w:highlight w:val="none"/>
          <w:lang w:val="en-US" w:eastAsia="zh-CN"/>
        </w:rPr>
        <w:t>3</w:t>
      </w:r>
      <w:r>
        <w:rPr>
          <w:rFonts w:hint="eastAsia" w:ascii="宋体" w:hAnsi="宋体" w:eastAsia="宋体" w:cs="Times New Roman"/>
          <w:color w:val="auto"/>
          <w:sz w:val="24"/>
          <w:highlight w:val="none"/>
          <w:lang w:eastAsia="zh-CN"/>
        </w:rPr>
        <w:t>）</w:t>
      </w:r>
      <w:r>
        <w:rPr>
          <w:rFonts w:hint="eastAsia" w:ascii="宋体" w:hAnsi="宋体" w:eastAsia="宋体" w:cs="Times New Roman"/>
          <w:color w:val="auto"/>
          <w:sz w:val="24"/>
          <w:highlight w:val="none"/>
        </w:rPr>
        <w:t>投标人在约定的时间内未能弥补缺陷，</w:t>
      </w:r>
      <w:r>
        <w:rPr>
          <w:rFonts w:hint="eastAsia" w:ascii="宋体" w:hAnsi="宋体" w:eastAsia="宋体" w:cs="Times New Roman"/>
          <w:color w:val="auto"/>
          <w:sz w:val="24"/>
          <w:highlight w:val="none"/>
          <w:lang w:eastAsia="zh-CN"/>
        </w:rPr>
        <w:t>招标人</w:t>
      </w:r>
      <w:r>
        <w:rPr>
          <w:rFonts w:hint="eastAsia" w:ascii="宋体" w:hAnsi="宋体" w:eastAsia="宋体" w:cs="Times New Roman"/>
          <w:color w:val="auto"/>
          <w:sz w:val="24"/>
          <w:highlight w:val="none"/>
        </w:rPr>
        <w:t>可采取必要的补救措施，但其风险和费用将由成交人承担。</w:t>
      </w:r>
    </w:p>
    <w:p w14:paraId="646FC603">
      <w:pPr>
        <w:widowControl w:val="0"/>
        <w:numPr>
          <w:ilvl w:val="0"/>
          <w:numId w:val="0"/>
        </w:numPr>
        <w:spacing w:line="360" w:lineRule="auto"/>
        <w:ind w:firstLine="482" w:firstLineChars="200"/>
        <w:jc w:val="left"/>
        <w:rPr>
          <w:rFonts w:ascii="宋体" w:hAnsi="宋体" w:eastAsia="宋体" w:cs="Times New Roman"/>
          <w:b/>
          <w:color w:val="auto"/>
          <w:kern w:val="2"/>
          <w:sz w:val="24"/>
          <w:szCs w:val="24"/>
          <w:highlight w:val="none"/>
          <w:lang w:val="en-US" w:eastAsia="zh-CN" w:bidi="ar-SA"/>
        </w:rPr>
      </w:pPr>
      <w:r>
        <w:rPr>
          <w:rFonts w:hint="eastAsia" w:ascii="宋体" w:hAnsi="宋体" w:eastAsia="宋体" w:cs="Times New Roman"/>
          <w:b/>
          <w:color w:val="auto"/>
          <w:kern w:val="2"/>
          <w:sz w:val="24"/>
          <w:szCs w:val="24"/>
          <w:highlight w:val="none"/>
          <w:lang w:val="en-US" w:eastAsia="zh-CN" w:bidi="ar-SA"/>
        </w:rPr>
        <w:t>3、</w:t>
      </w:r>
      <w:r>
        <w:rPr>
          <w:rFonts w:ascii="宋体" w:hAnsi="宋体" w:eastAsia="宋体" w:cs="Times New Roman"/>
          <w:b/>
          <w:color w:val="auto"/>
          <w:kern w:val="2"/>
          <w:sz w:val="24"/>
          <w:szCs w:val="24"/>
          <w:highlight w:val="none"/>
          <w:lang w:val="en-US" w:eastAsia="zh-CN" w:bidi="ar-SA"/>
        </w:rPr>
        <w:t>售后服务</w:t>
      </w:r>
    </w:p>
    <w:p w14:paraId="41D22F4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eastAsia="zh-CN"/>
        </w:rPr>
        <w:t>（</w:t>
      </w:r>
      <w:r>
        <w:rPr>
          <w:rFonts w:hint="eastAsia" w:ascii="宋体" w:hAnsi="宋体" w:eastAsia="宋体" w:cs="Times New Roman"/>
          <w:color w:val="auto"/>
          <w:sz w:val="24"/>
          <w:highlight w:val="none"/>
          <w:lang w:val="en-US" w:eastAsia="zh-CN"/>
        </w:rPr>
        <w:t>1</w:t>
      </w:r>
      <w:r>
        <w:rPr>
          <w:rFonts w:hint="eastAsia" w:ascii="宋体" w:hAnsi="宋体" w:eastAsia="宋体" w:cs="Times New Roman"/>
          <w:color w:val="auto"/>
          <w:sz w:val="24"/>
          <w:highlight w:val="none"/>
          <w:lang w:eastAsia="zh-CN"/>
        </w:rPr>
        <w:t>）</w:t>
      </w:r>
      <w:r>
        <w:rPr>
          <w:rFonts w:hint="eastAsia" w:ascii="宋体" w:hAnsi="宋体" w:eastAsia="宋体" w:cs="Times New Roman"/>
          <w:color w:val="auto"/>
          <w:sz w:val="24"/>
          <w:highlight w:val="none"/>
        </w:rPr>
        <w:t>在产品质保期内须免费更换或维修</w:t>
      </w:r>
      <w:r>
        <w:rPr>
          <w:rFonts w:hint="eastAsia" w:ascii="宋体" w:hAnsi="宋体" w:eastAsia="宋体" w:cs="Times New Roman"/>
          <w:color w:val="auto"/>
          <w:sz w:val="24"/>
          <w:highlight w:val="none"/>
          <w:lang w:eastAsia="zh-CN"/>
        </w:rPr>
        <w:t>。</w:t>
      </w:r>
      <w:r>
        <w:rPr>
          <w:rFonts w:hint="eastAsia" w:ascii="宋体" w:hAnsi="宋体" w:eastAsia="宋体" w:cs="Times New Roman"/>
          <w:color w:val="auto"/>
          <w:sz w:val="24"/>
          <w:highlight w:val="none"/>
        </w:rPr>
        <w:t>质保期过后，终身成本</w:t>
      </w:r>
      <w:r>
        <w:rPr>
          <w:rFonts w:hint="eastAsia" w:ascii="宋体" w:hAnsi="宋体" w:eastAsia="宋体" w:cs="Times New Roman"/>
          <w:color w:val="auto"/>
          <w:sz w:val="24"/>
          <w:highlight w:val="none"/>
          <w:lang w:val="en-US" w:eastAsia="zh-CN"/>
        </w:rPr>
        <w:t>更换或维修。</w:t>
      </w:r>
    </w:p>
    <w:p w14:paraId="7F1AFAC7">
      <w:pPr>
        <w:spacing w:line="360" w:lineRule="auto"/>
        <w:ind w:firstLine="240" w:firstLineChars="1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val="en-US" w:eastAsia="zh-CN"/>
        </w:rPr>
        <w:t>（2）</w:t>
      </w:r>
      <w:r>
        <w:rPr>
          <w:rFonts w:hint="eastAsia" w:ascii="宋体" w:hAnsi="宋体" w:eastAsia="宋体" w:cs="Times New Roman"/>
          <w:color w:val="auto"/>
          <w:sz w:val="24"/>
          <w:highlight w:val="none"/>
        </w:rPr>
        <w:t>产品在使用过程中出现问题，中标人应在2小时内响应，24小时内到达现场并解决问题。</w:t>
      </w:r>
    </w:p>
    <w:p w14:paraId="7D893260">
      <w:pPr>
        <w:spacing w:line="360" w:lineRule="auto"/>
        <w:ind w:firstLine="240" w:firstLineChars="100"/>
        <w:rPr>
          <w:rFonts w:ascii="宋体" w:hAnsi="宋体" w:eastAsia="宋体" w:cs="Times New Roman"/>
          <w:color w:val="auto"/>
          <w:sz w:val="24"/>
          <w:highlight w:val="none"/>
        </w:rPr>
      </w:pPr>
      <w:r>
        <w:rPr>
          <w:rFonts w:hint="eastAsia" w:ascii="宋体" w:hAnsi="宋体" w:eastAsia="宋体" w:cs="Times New Roman"/>
          <w:color w:val="auto"/>
          <w:sz w:val="24"/>
          <w:highlight w:val="none"/>
          <w:lang w:eastAsia="zh-CN"/>
        </w:rPr>
        <w:t>（</w:t>
      </w:r>
      <w:r>
        <w:rPr>
          <w:rFonts w:hint="eastAsia" w:ascii="宋体" w:hAnsi="宋体" w:eastAsia="宋体" w:cs="Times New Roman"/>
          <w:color w:val="auto"/>
          <w:sz w:val="24"/>
          <w:highlight w:val="none"/>
          <w:lang w:val="en-US" w:eastAsia="zh-CN"/>
        </w:rPr>
        <w:t>3</w:t>
      </w:r>
      <w:r>
        <w:rPr>
          <w:rFonts w:hint="eastAsia" w:ascii="宋体" w:hAnsi="宋体" w:eastAsia="宋体" w:cs="Times New Roman"/>
          <w:color w:val="auto"/>
          <w:sz w:val="24"/>
          <w:highlight w:val="none"/>
          <w:lang w:eastAsia="zh-CN"/>
        </w:rPr>
        <w:t>）</w:t>
      </w:r>
      <w:r>
        <w:rPr>
          <w:rFonts w:hint="eastAsia" w:ascii="宋体" w:hAnsi="宋体" w:eastAsia="宋体" w:cs="Times New Roman"/>
          <w:color w:val="auto"/>
          <w:sz w:val="24"/>
          <w:highlight w:val="none"/>
        </w:rPr>
        <w:t>产品要求负责现场安装调试，提供维修工具和必要的常用零配件。</w:t>
      </w:r>
    </w:p>
    <w:p w14:paraId="77CBB337">
      <w:pPr>
        <w:spacing w:line="360" w:lineRule="auto"/>
        <w:ind w:firstLine="240" w:firstLineChars="100"/>
        <w:rPr>
          <w:rFonts w:hint="eastAsia" w:ascii="宋体" w:hAnsi="宋体" w:eastAsia="宋体" w:cs="Times New Roman"/>
          <w:color w:val="auto"/>
          <w:sz w:val="24"/>
          <w:highlight w:val="none"/>
        </w:rPr>
      </w:pPr>
      <w:r>
        <w:rPr>
          <w:rFonts w:hint="eastAsia" w:ascii="宋体" w:hAnsi="宋体" w:eastAsia="宋体" w:cs="Times New Roman"/>
          <w:color w:val="auto"/>
          <w:sz w:val="24"/>
          <w:highlight w:val="none"/>
          <w:lang w:eastAsia="zh-CN"/>
        </w:rPr>
        <w:t>（</w:t>
      </w:r>
      <w:r>
        <w:rPr>
          <w:rFonts w:hint="eastAsia" w:ascii="宋体" w:hAnsi="宋体" w:eastAsia="宋体" w:cs="Times New Roman"/>
          <w:color w:val="auto"/>
          <w:sz w:val="24"/>
          <w:highlight w:val="none"/>
          <w:lang w:val="en-US" w:eastAsia="zh-CN"/>
        </w:rPr>
        <w:t>4</w:t>
      </w:r>
      <w:r>
        <w:rPr>
          <w:rFonts w:hint="eastAsia" w:ascii="宋体" w:hAnsi="宋体" w:eastAsia="宋体" w:cs="Times New Roman"/>
          <w:color w:val="auto"/>
          <w:sz w:val="24"/>
          <w:highlight w:val="none"/>
          <w:lang w:eastAsia="zh-CN"/>
        </w:rPr>
        <w:t>）</w:t>
      </w:r>
      <w:r>
        <w:rPr>
          <w:rFonts w:hint="eastAsia" w:ascii="宋体" w:hAnsi="宋体" w:eastAsia="宋体" w:cs="Times New Roman"/>
          <w:color w:val="auto"/>
          <w:sz w:val="24"/>
          <w:highlight w:val="none"/>
        </w:rPr>
        <w:t>报价人需提供系统培训计划，培训</w:t>
      </w:r>
      <w:r>
        <w:rPr>
          <w:rFonts w:hint="eastAsia" w:ascii="宋体" w:hAnsi="宋体" w:eastAsia="宋体" w:cs="Times New Roman"/>
          <w:color w:val="auto"/>
          <w:sz w:val="24"/>
          <w:highlight w:val="none"/>
          <w:lang w:val="en-US" w:eastAsia="zh-CN"/>
        </w:rPr>
        <w:t>次数</w:t>
      </w:r>
      <w:r>
        <w:rPr>
          <w:rFonts w:hint="eastAsia" w:ascii="宋体" w:hAnsi="宋体" w:eastAsia="宋体" w:cs="Times New Roman"/>
          <w:color w:val="auto"/>
          <w:sz w:val="24"/>
          <w:highlight w:val="none"/>
        </w:rPr>
        <w:t>不少于3次。</w:t>
      </w:r>
    </w:p>
    <w:p w14:paraId="72FBCA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（5）保修及售后服务：首部枢纽部分质保期不低于3年，其余部分质保不低于2年，使用寿命（非人为损坏）土埋管材使用寿命不低于15年，其余部分使用寿命不低于10年（易损件除外）；售后技术终身无偿服务。</w:t>
      </w:r>
    </w:p>
    <w:p w14:paraId="151D9FFB">
      <w:pPr>
        <w:widowControl w:val="0"/>
        <w:numPr>
          <w:ilvl w:val="0"/>
          <w:numId w:val="0"/>
        </w:numPr>
        <w:spacing w:line="360" w:lineRule="auto"/>
        <w:ind w:firstLine="482" w:firstLineChars="200"/>
        <w:jc w:val="left"/>
        <w:rPr>
          <w:rFonts w:hint="eastAsia" w:ascii="宋体" w:hAnsi="宋体" w:eastAsia="宋体" w:cs="Times New Roman"/>
          <w:b/>
          <w:color w:val="auto"/>
          <w:kern w:val="2"/>
          <w:sz w:val="24"/>
          <w:szCs w:val="24"/>
          <w:highlight w:val="none"/>
          <w:lang w:val="en-US" w:eastAsia="zh-CN" w:bidi="ar-SA"/>
        </w:rPr>
      </w:pPr>
      <w:bookmarkStart w:id="0" w:name="_Toc23093"/>
      <w:r>
        <w:rPr>
          <w:rFonts w:hint="eastAsia" w:ascii="宋体" w:hAnsi="宋体" w:eastAsia="宋体" w:cs="Times New Roman"/>
          <w:b/>
          <w:color w:val="auto"/>
          <w:kern w:val="2"/>
          <w:sz w:val="24"/>
          <w:szCs w:val="24"/>
          <w:highlight w:val="none"/>
          <w:lang w:val="en-US" w:eastAsia="zh-CN" w:bidi="ar-SA"/>
        </w:rPr>
        <w:t>4、合同签订及验收</w:t>
      </w:r>
      <w:bookmarkEnd w:id="0"/>
    </w:p>
    <w:p w14:paraId="63477E9C">
      <w:pPr>
        <w:spacing w:line="360" w:lineRule="auto"/>
        <w:ind w:firstLine="480" w:firstLineChars="200"/>
        <w:rPr>
          <w:rFonts w:hint="eastAsia" w:ascii="宋体" w:hAnsi="宋体" w:eastAsia="宋体" w:cs="Times New Roman"/>
          <w:b w:val="0"/>
          <w:bCs w:val="0"/>
          <w:color w:val="auto"/>
          <w:sz w:val="24"/>
          <w:highlight w:val="none"/>
        </w:rPr>
      </w:pPr>
      <w:r>
        <w:rPr>
          <w:rFonts w:hint="eastAsia" w:ascii="宋体" w:hAnsi="宋体" w:eastAsia="宋体" w:cs="Times New Roman"/>
          <w:b w:val="0"/>
          <w:bCs w:val="0"/>
          <w:color w:val="auto"/>
          <w:sz w:val="24"/>
          <w:highlight w:val="none"/>
        </w:rPr>
        <w:t>招标人与中标人签订总合同，各基地所属公司签订分合同，资金支付根据各基地所属公司实际情况合理安排支付。各基地所属公司合同签订前中标人需提供各公司基地详细的清单，按清单据实结算且项目总价不超过：1492亩（具体地块面积以第三方实际测绘亩数为准）*中标人的投标报价；中标人和招标人及县蓝莓产业服务发展中心等单位共同实施验收工作，结果和验收报告经双方确认后生效。</w:t>
      </w:r>
      <w:bookmarkStart w:id="1" w:name="_GoBack"/>
      <w:bookmarkEnd w:id="1"/>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C8FDDB"/>
    <w:multiLevelType w:val="singleLevel"/>
    <w:tmpl w:val="C0C8FDDB"/>
    <w:lvl w:ilvl="0" w:tentative="0">
      <w:start w:val="4"/>
      <w:numFmt w:val="decimal"/>
      <w:suff w:val="nothing"/>
      <w:lvlText w:val="%1、"/>
      <w:lvlJc w:val="left"/>
    </w:lvl>
  </w:abstractNum>
  <w:abstractNum w:abstractNumId="1">
    <w:nsid w:val="E0805EFF"/>
    <w:multiLevelType w:val="singleLevel"/>
    <w:tmpl w:val="E0805EFF"/>
    <w:lvl w:ilvl="0" w:tentative="0">
      <w:start w:val="1"/>
      <w:numFmt w:val="decimal"/>
      <w:suff w:val="nothing"/>
      <w:lvlText w:val="（%1）"/>
      <w:lvlJc w:val="left"/>
    </w:lvl>
  </w:abstractNum>
  <w:abstractNum w:abstractNumId="2">
    <w:nsid w:val="508814D8"/>
    <w:multiLevelType w:val="singleLevel"/>
    <w:tmpl w:val="508814D8"/>
    <w:lvl w:ilvl="0" w:tentative="0">
      <w:start w:val="1"/>
      <w:numFmt w:val="decimal"/>
      <w:suff w:val="nothing"/>
      <w:lvlText w:val="（%1）"/>
      <w:lvlJc w:val="left"/>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5OTVmMGZiNjA0N2M5NDhiNWRiMTFiZGYxNGY1YTcifQ=="/>
  </w:docVars>
  <w:rsids>
    <w:rsidRoot w:val="00000000"/>
    <w:rsid w:val="02C221DB"/>
    <w:rsid w:val="07507A55"/>
    <w:rsid w:val="07A77AC1"/>
    <w:rsid w:val="08024F64"/>
    <w:rsid w:val="0ACA41BF"/>
    <w:rsid w:val="0D1E3107"/>
    <w:rsid w:val="0F130DC8"/>
    <w:rsid w:val="118306AD"/>
    <w:rsid w:val="11CE5036"/>
    <w:rsid w:val="137E2D1B"/>
    <w:rsid w:val="13FB5B8F"/>
    <w:rsid w:val="191C2674"/>
    <w:rsid w:val="1B293176"/>
    <w:rsid w:val="1C933492"/>
    <w:rsid w:val="1FC300D1"/>
    <w:rsid w:val="22331934"/>
    <w:rsid w:val="23B677B2"/>
    <w:rsid w:val="26D229A9"/>
    <w:rsid w:val="2817215E"/>
    <w:rsid w:val="290953E5"/>
    <w:rsid w:val="296E4C74"/>
    <w:rsid w:val="2BA54513"/>
    <w:rsid w:val="2F1E42CA"/>
    <w:rsid w:val="2F8E7830"/>
    <w:rsid w:val="37835CB2"/>
    <w:rsid w:val="37924156"/>
    <w:rsid w:val="38706856"/>
    <w:rsid w:val="38D9526E"/>
    <w:rsid w:val="3924527B"/>
    <w:rsid w:val="3B9C752A"/>
    <w:rsid w:val="3BB75B27"/>
    <w:rsid w:val="3BCB1354"/>
    <w:rsid w:val="3BED2703"/>
    <w:rsid w:val="3C5C6EA8"/>
    <w:rsid w:val="40715B46"/>
    <w:rsid w:val="41A43864"/>
    <w:rsid w:val="4433352C"/>
    <w:rsid w:val="45C8248D"/>
    <w:rsid w:val="46D174BE"/>
    <w:rsid w:val="46D43E50"/>
    <w:rsid w:val="48DC7235"/>
    <w:rsid w:val="48E42A31"/>
    <w:rsid w:val="4BE76329"/>
    <w:rsid w:val="50153434"/>
    <w:rsid w:val="55AD5C6F"/>
    <w:rsid w:val="58061FB3"/>
    <w:rsid w:val="58910D55"/>
    <w:rsid w:val="58C40B58"/>
    <w:rsid w:val="58C67771"/>
    <w:rsid w:val="5BA30D37"/>
    <w:rsid w:val="6223037D"/>
    <w:rsid w:val="6562352B"/>
    <w:rsid w:val="6B0006E8"/>
    <w:rsid w:val="6DF8075E"/>
    <w:rsid w:val="706978A3"/>
    <w:rsid w:val="723E2B7A"/>
    <w:rsid w:val="727B1A8A"/>
    <w:rsid w:val="72BE35CB"/>
    <w:rsid w:val="74BD226A"/>
    <w:rsid w:val="74DF4A61"/>
    <w:rsid w:val="760D22B2"/>
    <w:rsid w:val="76431BD1"/>
    <w:rsid w:val="78D30726"/>
    <w:rsid w:val="7D6202AB"/>
    <w:rsid w:val="7E436770"/>
    <w:rsid w:val="7E6F3B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Body Text Indent"/>
    <w:basedOn w:val="1"/>
    <w:qFormat/>
    <w:uiPriority w:val="99"/>
    <w:pPr>
      <w:spacing w:after="120"/>
      <w:ind w:left="420" w:leftChars="200"/>
    </w:pPr>
  </w:style>
  <w:style w:type="paragraph" w:styleId="3">
    <w:name w:val="Body Text First Indent 2"/>
    <w:basedOn w:val="2"/>
    <w:next w:val="1"/>
    <w:autoRedefine/>
    <w:qFormat/>
    <w:uiPriority w:val="99"/>
    <w:pPr>
      <w:ind w:firstLine="420"/>
    </w:pPr>
    <w:rPr>
      <w:rFonts w:ascii="Times New Roman" w:hAnsi="Times New Roman"/>
    </w:rPr>
  </w:style>
  <w:style w:type="character" w:styleId="6">
    <w:name w:val="Hyperlink"/>
    <w:basedOn w:val="5"/>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6281</Words>
  <Characters>6893</Characters>
  <Lines>0</Lines>
  <Paragraphs>0</Paragraphs>
  <TotalTime>0</TotalTime>
  <ScaleCrop>false</ScaleCrop>
  <LinksUpToDate>false</LinksUpToDate>
  <CharactersWithSpaces>6957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2022-04-21T03:18:00Z</dcterms:created>
  <dc:creator>admin</dc:creator>
  <cp:lastModifiedBy>徐云云</cp:lastModifiedBy>
  <cp:lastPrinted>2023-10-16T02:53:00Z</cp:lastPrinted>
  <dcterms:modified xsi:type="dcterms:W3CDTF">2026-02-11T02:17:14Z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4C413EA1073E4B39B4E60FA2B09BAB6C_13</vt:lpwstr>
  </property>
  <property fmtid="{D5CDD505-2E9C-101B-9397-08002B2CF9AE}" pid="4" name="commondata">
    <vt:lpwstr>eyJoZGlkIjoiZWQ0ZmRlZTM3N2M5MGExMGI5OTU0NmY1MmE0YTczOGUifQ==</vt:lpwstr>
  </property>
  <property fmtid="{D5CDD505-2E9C-101B-9397-08002B2CF9AE}" pid="5" name="KSOTemplateDocerSaveRecord">
    <vt:lpwstr>eyJoZGlkIjoiYTY4YTI4OGNlNWRlZTdjMjJmMTcyOTg1YjQ2YzhhMDkiLCJ1c2VySWQiOiI1ODI4NjU2NTkifQ==</vt:lpwstr>
  </property>
</Properties>
</file>