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D57F2B">
      <w:pPr>
        <w:keepNext/>
        <w:keepLines/>
        <w:widowControl w:val="0"/>
        <w:numPr>
          <w:ilvl w:val="0"/>
          <w:numId w:val="0"/>
        </w:numPr>
        <w:spacing w:before="100" w:after="100" w:line="340" w:lineRule="exact"/>
        <w:ind w:leftChars="0"/>
        <w:jc w:val="center"/>
        <w:outlineLvl w:val="0"/>
        <w:rPr>
          <w:rFonts w:hint="eastAsia" w:ascii="宋体" w:hAnsi="宋体" w:eastAsia="宋体" w:cs="宋体"/>
          <w:b/>
          <w:bCs/>
          <w:kern w:val="44"/>
          <w:sz w:val="32"/>
          <w:szCs w:val="44"/>
          <w:lang w:val="en-US" w:eastAsia="zh-CN" w:bidi="ar-SA"/>
        </w:rPr>
      </w:pPr>
      <w:bookmarkStart w:id="0" w:name="_Toc477185613"/>
      <w:r>
        <w:rPr>
          <w:rFonts w:hint="eastAsia" w:ascii="宋体" w:hAnsi="宋体" w:eastAsia="宋体" w:cs="宋体"/>
          <w:b/>
          <w:bCs/>
          <w:kern w:val="44"/>
          <w:sz w:val="32"/>
          <w:szCs w:val="44"/>
          <w:lang w:val="en-US" w:eastAsia="zh-CN" w:bidi="ar-SA"/>
        </w:rPr>
        <w:t>服务需求及技术要求</w:t>
      </w:r>
      <w:bookmarkEnd w:id="0"/>
    </w:p>
    <w:p w14:paraId="4A5051D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bCs/>
          <w:color w:val="auto"/>
          <w:szCs w:val="21"/>
          <w:highlight w:val="none"/>
          <w:lang w:eastAsia="zh-CN"/>
        </w:rPr>
      </w:pPr>
      <w:bookmarkStart w:id="1" w:name="bookmark47"/>
      <w:r>
        <w:rPr>
          <w:rFonts w:hint="eastAsia" w:ascii="宋体" w:hAnsi="宋体" w:eastAsia="宋体" w:cs="宋体"/>
          <w:b/>
          <w:bCs/>
          <w:color w:val="auto"/>
          <w:szCs w:val="21"/>
          <w:highlight w:val="none"/>
        </w:rPr>
        <w:t>一、</w:t>
      </w:r>
      <w:r>
        <w:rPr>
          <w:rFonts w:hint="eastAsia" w:ascii="宋体" w:hAnsi="宋体" w:cs="宋体"/>
          <w:b/>
          <w:bCs/>
          <w:color w:val="auto"/>
          <w:szCs w:val="21"/>
          <w:highlight w:val="none"/>
          <w:lang w:val="en-US" w:eastAsia="zh-CN"/>
        </w:rPr>
        <w:t>项目概况</w:t>
      </w:r>
    </w:p>
    <w:p w14:paraId="2DEA3B2F">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b w:val="0"/>
          <w:bCs w:val="0"/>
          <w:color w:val="auto"/>
          <w:szCs w:val="21"/>
          <w:highlight w:val="none"/>
          <w:lang w:eastAsia="zh-CN"/>
        </w:rPr>
      </w:pPr>
      <w:r>
        <w:rPr>
          <w:rFonts w:hint="eastAsia" w:ascii="宋体" w:hAnsi="宋体" w:cs="宋体"/>
          <w:b w:val="0"/>
          <w:bCs w:val="0"/>
          <w:color w:val="auto"/>
          <w:szCs w:val="21"/>
          <w:highlight w:val="none"/>
          <w:lang w:eastAsia="zh-CN"/>
        </w:rPr>
        <w:t>怀宁县</w:t>
      </w:r>
      <w:r>
        <w:rPr>
          <w:rFonts w:hint="eastAsia" w:ascii="宋体" w:hAnsi="宋体" w:cs="宋体"/>
          <w:b w:val="0"/>
          <w:bCs w:val="0"/>
          <w:color w:val="auto"/>
          <w:szCs w:val="21"/>
          <w:highlight w:val="none"/>
          <w:lang w:val="en-US" w:eastAsia="zh-CN"/>
        </w:rPr>
        <w:t>蓝宁府项目位于怀宁县高河镇政和路与龙马大道交界处，东至龙马大道，南至政和东路，西至天发路，北至永安东街。本项目共计10栋高层住宅，住宅层数地上17层，地下负一层。</w:t>
      </w:r>
      <w:r>
        <w:rPr>
          <w:rFonts w:hint="eastAsia" w:ascii="宋体" w:hAnsi="宋体" w:cs="宋体"/>
          <w:b w:val="0"/>
          <w:bCs w:val="0"/>
          <w:color w:val="auto"/>
          <w:szCs w:val="21"/>
          <w:highlight w:val="none"/>
          <w:lang w:eastAsia="zh-CN"/>
        </w:rPr>
        <w:t>其中1#楼、</w:t>
      </w:r>
      <w:r>
        <w:rPr>
          <w:rFonts w:hint="eastAsia" w:ascii="宋体" w:hAnsi="宋体" w:cs="宋体"/>
          <w:b w:val="0"/>
          <w:bCs w:val="0"/>
          <w:color w:val="auto"/>
          <w:szCs w:val="21"/>
          <w:highlight w:val="none"/>
          <w:lang w:val="en-US" w:eastAsia="zh-CN"/>
        </w:rPr>
        <w:t>2</w:t>
      </w:r>
      <w:r>
        <w:rPr>
          <w:rFonts w:hint="eastAsia" w:ascii="宋体" w:hAnsi="宋体" w:cs="宋体"/>
          <w:b w:val="0"/>
          <w:bCs w:val="0"/>
          <w:color w:val="auto"/>
          <w:szCs w:val="21"/>
          <w:highlight w:val="none"/>
          <w:lang w:eastAsia="zh-CN"/>
        </w:rPr>
        <w:t>#楼、</w:t>
      </w:r>
      <w:r>
        <w:rPr>
          <w:rFonts w:hint="eastAsia" w:ascii="宋体" w:hAnsi="宋体" w:cs="宋体"/>
          <w:b w:val="0"/>
          <w:bCs w:val="0"/>
          <w:color w:val="auto"/>
          <w:szCs w:val="21"/>
          <w:highlight w:val="none"/>
          <w:lang w:val="en-US" w:eastAsia="zh-CN"/>
        </w:rPr>
        <w:t>3</w:t>
      </w:r>
      <w:r>
        <w:rPr>
          <w:rFonts w:hint="eastAsia" w:ascii="宋体" w:hAnsi="宋体" w:cs="宋体"/>
          <w:b w:val="0"/>
          <w:bCs w:val="0"/>
          <w:color w:val="auto"/>
          <w:szCs w:val="21"/>
          <w:highlight w:val="none"/>
          <w:lang w:eastAsia="zh-CN"/>
        </w:rPr>
        <w:t>#楼、</w:t>
      </w:r>
      <w:r>
        <w:rPr>
          <w:rFonts w:hint="eastAsia" w:ascii="宋体" w:hAnsi="宋体" w:cs="宋体"/>
          <w:b w:val="0"/>
          <w:bCs w:val="0"/>
          <w:color w:val="auto"/>
          <w:szCs w:val="21"/>
          <w:highlight w:val="none"/>
          <w:lang w:val="en-US" w:eastAsia="zh-CN"/>
        </w:rPr>
        <w:t>5</w:t>
      </w:r>
      <w:r>
        <w:rPr>
          <w:rFonts w:hint="eastAsia" w:ascii="宋体" w:hAnsi="宋体" w:cs="宋体"/>
          <w:b w:val="0"/>
          <w:bCs w:val="0"/>
          <w:color w:val="auto"/>
          <w:szCs w:val="21"/>
          <w:highlight w:val="none"/>
          <w:lang w:eastAsia="zh-CN"/>
        </w:rPr>
        <w:t>#楼、</w:t>
      </w:r>
      <w:r>
        <w:rPr>
          <w:rFonts w:hint="eastAsia" w:ascii="宋体" w:hAnsi="宋体" w:cs="宋体"/>
          <w:b w:val="0"/>
          <w:bCs w:val="0"/>
          <w:color w:val="auto"/>
          <w:szCs w:val="21"/>
          <w:highlight w:val="none"/>
          <w:lang w:val="en-US" w:eastAsia="zh-CN"/>
        </w:rPr>
        <w:t>7</w:t>
      </w:r>
      <w:r>
        <w:rPr>
          <w:rFonts w:hint="eastAsia" w:ascii="宋体" w:hAnsi="宋体" w:cs="宋体"/>
          <w:b w:val="0"/>
          <w:bCs w:val="0"/>
          <w:color w:val="auto"/>
          <w:szCs w:val="21"/>
          <w:highlight w:val="none"/>
          <w:lang w:eastAsia="zh-CN"/>
        </w:rPr>
        <w:t>#楼有附属商业。总建筑面积为</w:t>
      </w:r>
      <w:r>
        <w:rPr>
          <w:rFonts w:hint="eastAsia" w:ascii="宋体" w:hAnsi="宋体" w:cs="宋体"/>
          <w:b w:val="0"/>
          <w:bCs w:val="0"/>
          <w:color w:val="auto"/>
          <w:szCs w:val="21"/>
          <w:highlight w:val="none"/>
          <w:lang w:val="en-US" w:eastAsia="zh-CN"/>
        </w:rPr>
        <w:t>95778.17平方米</w:t>
      </w:r>
      <w:r>
        <w:rPr>
          <w:rFonts w:hint="eastAsia" w:ascii="宋体" w:hAnsi="宋体" w:cs="宋体"/>
          <w:b w:val="0"/>
          <w:bCs w:val="0"/>
          <w:color w:val="auto"/>
          <w:szCs w:val="21"/>
          <w:highlight w:val="none"/>
          <w:lang w:eastAsia="zh-CN"/>
        </w:rPr>
        <w:t>，</w:t>
      </w:r>
      <w:r>
        <w:rPr>
          <w:rFonts w:hint="eastAsia" w:ascii="宋体" w:hAnsi="宋体" w:cs="宋体"/>
          <w:b w:val="0"/>
          <w:bCs w:val="0"/>
          <w:color w:val="auto"/>
          <w:szCs w:val="21"/>
          <w:highlight w:val="none"/>
          <w:lang w:val="en-US" w:eastAsia="zh-CN"/>
        </w:rPr>
        <w:t>地上建筑面积68580.96平方米；地下建筑面积25205.64平方米</w:t>
      </w:r>
      <w:r>
        <w:rPr>
          <w:rFonts w:hint="eastAsia" w:ascii="宋体" w:hAnsi="宋体" w:cs="宋体"/>
          <w:b w:val="0"/>
          <w:bCs w:val="0"/>
          <w:color w:val="auto"/>
          <w:szCs w:val="21"/>
          <w:highlight w:val="none"/>
          <w:lang w:eastAsia="zh-CN"/>
        </w:rPr>
        <w:t>。</w:t>
      </w:r>
    </w:p>
    <w:p w14:paraId="7C4AB635">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cs="宋体"/>
          <w:b/>
          <w:bCs/>
          <w:color w:val="auto"/>
          <w:szCs w:val="21"/>
          <w:highlight w:val="none"/>
          <w:lang w:val="en-US" w:eastAsia="zh-CN"/>
        </w:rPr>
      </w:pPr>
      <w:r>
        <w:rPr>
          <w:rFonts w:hint="eastAsia" w:ascii="宋体" w:hAnsi="宋体" w:cs="宋体"/>
          <w:b/>
          <w:bCs/>
          <w:color w:val="auto"/>
          <w:kern w:val="2"/>
          <w:sz w:val="21"/>
          <w:szCs w:val="21"/>
          <w:lang w:val="en-US" w:eastAsia="zh-CN" w:bidi="ar-SA"/>
        </w:rPr>
        <w:t>二、</w:t>
      </w:r>
      <w:r>
        <w:rPr>
          <w:rFonts w:hint="eastAsia" w:ascii="宋体" w:hAnsi="宋体" w:cs="宋体"/>
          <w:b/>
          <w:bCs/>
          <w:color w:val="auto"/>
          <w:szCs w:val="21"/>
          <w:highlight w:val="none"/>
          <w:lang w:val="en-US" w:eastAsia="zh-CN"/>
        </w:rPr>
        <w:t>服务内容</w:t>
      </w:r>
    </w:p>
    <w:p w14:paraId="04E8F973">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1、小区前期物业服务</w:t>
      </w:r>
    </w:p>
    <w:tbl>
      <w:tblPr>
        <w:tblStyle w:val="3"/>
        <w:tblW w:w="96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076"/>
        <w:gridCol w:w="7884"/>
      </w:tblGrid>
      <w:tr w14:paraId="5BCD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708" w:type="dxa"/>
            <w:noWrap w:val="0"/>
            <w:vAlign w:val="center"/>
          </w:tcPr>
          <w:p w14:paraId="456FEBB0">
            <w:pPr>
              <w:widowControl w:val="0"/>
              <w:numPr>
                <w:ilvl w:val="0"/>
                <w:numId w:val="0"/>
              </w:numPr>
              <w:spacing w:before="100" w:beforeAutospacing="1" w:after="100" w:afterAutospacing="1" w:line="440" w:lineRule="exact"/>
              <w:ind w:left="357" w:hanging="357"/>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序号</w:t>
            </w:r>
          </w:p>
        </w:tc>
        <w:tc>
          <w:tcPr>
            <w:tcW w:w="1076" w:type="dxa"/>
            <w:noWrap w:val="0"/>
            <w:vAlign w:val="center"/>
          </w:tcPr>
          <w:p w14:paraId="4B99CB1D">
            <w:pPr>
              <w:widowControl w:val="0"/>
              <w:numPr>
                <w:ilvl w:val="0"/>
                <w:numId w:val="0"/>
              </w:numPr>
              <w:spacing w:before="100" w:beforeAutospacing="1" w:after="100" w:afterAutospacing="1" w:line="440" w:lineRule="exact"/>
              <w:ind w:left="357" w:hanging="357"/>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内 容</w:t>
            </w:r>
          </w:p>
        </w:tc>
        <w:tc>
          <w:tcPr>
            <w:tcW w:w="7884" w:type="dxa"/>
            <w:noWrap w:val="0"/>
            <w:vAlign w:val="center"/>
          </w:tcPr>
          <w:p w14:paraId="53B7EF31">
            <w:pPr>
              <w:widowControl w:val="0"/>
              <w:numPr>
                <w:ilvl w:val="0"/>
                <w:numId w:val="0"/>
              </w:numPr>
              <w:spacing w:before="100" w:beforeAutospacing="1" w:after="100" w:afterAutospacing="1" w:line="440" w:lineRule="exact"/>
              <w:ind w:left="357" w:hanging="357"/>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服务要求</w:t>
            </w:r>
          </w:p>
        </w:tc>
      </w:tr>
      <w:tr w14:paraId="24C5C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708" w:type="dxa"/>
            <w:noWrap w:val="0"/>
            <w:vAlign w:val="center"/>
          </w:tcPr>
          <w:p w14:paraId="77866E31">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440" w:lineRule="exact"/>
              <w:ind w:left="357" w:hanging="357"/>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w:t>
            </w:r>
          </w:p>
        </w:tc>
        <w:tc>
          <w:tcPr>
            <w:tcW w:w="1076" w:type="dxa"/>
            <w:noWrap w:val="0"/>
            <w:vAlign w:val="center"/>
          </w:tcPr>
          <w:p w14:paraId="042DD3A1">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管理处设置</w:t>
            </w:r>
          </w:p>
        </w:tc>
        <w:tc>
          <w:tcPr>
            <w:tcW w:w="7884" w:type="dxa"/>
            <w:noWrap w:val="0"/>
            <w:vAlign w:val="center"/>
          </w:tcPr>
          <w:p w14:paraId="4652C519">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（1）小区内设立物业管理处。</w:t>
            </w:r>
          </w:p>
          <w:p w14:paraId="118A7678">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（2）办公场所整洁有序有专门的接待区域。</w:t>
            </w:r>
          </w:p>
          <w:p w14:paraId="7C9B3E66">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（3）配置办公家具、电话、电脑、打印机等办公设施及办公用品。</w:t>
            </w:r>
          </w:p>
          <w:p w14:paraId="7334FD49">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（4）在管理处悬挂或张贴物业服务企业资质证书或复印件、项目负责人照片，公示物业服务事项、服务标准、收费项目、收费标准等有关信息。提供特约服务的，公示特约服务项目及服务标准、收费标准。</w:t>
            </w:r>
          </w:p>
        </w:tc>
      </w:tr>
      <w:tr w14:paraId="00944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708" w:type="dxa"/>
            <w:noWrap w:val="0"/>
            <w:vAlign w:val="center"/>
          </w:tcPr>
          <w:p w14:paraId="19F943CF">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440" w:lineRule="exact"/>
              <w:ind w:left="357" w:hanging="357"/>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w:t>
            </w:r>
          </w:p>
        </w:tc>
        <w:tc>
          <w:tcPr>
            <w:tcW w:w="1076" w:type="dxa"/>
            <w:noWrap w:val="0"/>
            <w:vAlign w:val="center"/>
          </w:tcPr>
          <w:p w14:paraId="590C9CFC">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管理人员要求</w:t>
            </w:r>
          </w:p>
        </w:tc>
        <w:tc>
          <w:tcPr>
            <w:tcW w:w="7884" w:type="dxa"/>
            <w:noWrap w:val="0"/>
            <w:vAlign w:val="center"/>
          </w:tcPr>
          <w:p w14:paraId="3489A079">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（1）小区物业经理有经理岗位证书,管理员持有上岗证，经理具有大专以上学历。</w:t>
            </w:r>
          </w:p>
          <w:p w14:paraId="2F36F593">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（2）管理人员服装统一，挂牌上岗，仪表整洁。</w:t>
            </w:r>
          </w:p>
          <w:p w14:paraId="2FF04294">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（3）综合素质高，能应对各种问题并及时处理。</w:t>
            </w:r>
          </w:p>
        </w:tc>
      </w:tr>
      <w:tr w14:paraId="3BF44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708" w:type="dxa"/>
            <w:noWrap w:val="0"/>
            <w:vAlign w:val="center"/>
          </w:tcPr>
          <w:p w14:paraId="3E93156F">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440" w:lineRule="exact"/>
              <w:ind w:left="357" w:hanging="357"/>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w:t>
            </w:r>
          </w:p>
        </w:tc>
        <w:tc>
          <w:tcPr>
            <w:tcW w:w="1076" w:type="dxa"/>
            <w:noWrap w:val="0"/>
            <w:vAlign w:val="center"/>
          </w:tcPr>
          <w:p w14:paraId="231778F0">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服务时间</w:t>
            </w:r>
          </w:p>
        </w:tc>
        <w:tc>
          <w:tcPr>
            <w:tcW w:w="7884" w:type="dxa"/>
            <w:noWrap w:val="0"/>
            <w:vAlign w:val="center"/>
          </w:tcPr>
          <w:p w14:paraId="59A13E64">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周一至周日每天10小时在管理处进行业务接待，并提供服务。</w:t>
            </w:r>
          </w:p>
        </w:tc>
      </w:tr>
      <w:tr w14:paraId="0CFB1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8" w:type="dxa"/>
            <w:noWrap w:val="0"/>
            <w:vAlign w:val="center"/>
          </w:tcPr>
          <w:p w14:paraId="64ADB968">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440" w:lineRule="exact"/>
              <w:ind w:left="357" w:hanging="357"/>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w:t>
            </w:r>
          </w:p>
        </w:tc>
        <w:tc>
          <w:tcPr>
            <w:tcW w:w="1076" w:type="dxa"/>
            <w:noWrap w:val="0"/>
            <w:vAlign w:val="center"/>
          </w:tcPr>
          <w:p w14:paraId="6C4E7437">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日常管理与服务</w:t>
            </w:r>
          </w:p>
        </w:tc>
        <w:tc>
          <w:tcPr>
            <w:tcW w:w="7884" w:type="dxa"/>
            <w:noWrap w:val="0"/>
            <w:vAlign w:val="center"/>
          </w:tcPr>
          <w:p w14:paraId="47B8258C">
            <w:pPr>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440" w:lineRule="exact"/>
              <w:ind w:left="0" w:leftChars="0" w:firstLine="0" w:firstLineChars="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服务规范应符合《安徽省住宅区物业管理规程》要求。</w:t>
            </w:r>
          </w:p>
          <w:p w14:paraId="75BD7569">
            <w:pPr>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440" w:lineRule="exact"/>
              <w:ind w:left="0" w:leftChars="0" w:firstLine="0" w:firstLineChars="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24小时受理业主或使用人急修。接到任何报修半小时内到现场处理(预约除外)。</w:t>
            </w:r>
          </w:p>
          <w:p w14:paraId="4E89D265">
            <w:pPr>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440" w:lineRule="exact"/>
              <w:ind w:left="0" w:leftChars="0" w:firstLine="0" w:firstLineChars="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对业主或使用人的投诉在24小时内答复处理。</w:t>
            </w:r>
          </w:p>
          <w:p w14:paraId="393AE6A4">
            <w:pPr>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440" w:lineRule="exact"/>
              <w:ind w:left="0" w:leftChars="0" w:firstLine="0" w:firstLineChars="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制定小区房屋装修申请、审批、巡视、验收等装修管理制度，建立业主或使用人房屋装修档案，对不符合规定的行为、现象及时劝阻、制止或报告。</w:t>
            </w:r>
          </w:p>
          <w:p w14:paraId="54072617">
            <w:pPr>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440" w:lineRule="exact"/>
              <w:ind w:left="0" w:leftChars="0" w:firstLine="0" w:firstLineChars="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建立健全的财务管理制度，对物业服务费和其它费用的收支进行财务管理，做到运作规范，账目清晰。</w:t>
            </w:r>
          </w:p>
          <w:p w14:paraId="1D464CB2">
            <w:pPr>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440" w:lineRule="exact"/>
              <w:ind w:left="0" w:leftChars="0" w:firstLine="0" w:firstLineChars="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建立完善的档案管理制度，建立齐全的小区物业管理档案［包括物业竣工验收档案、设备管理档案、业主或使用人资料档案(含业主或使用人装修档案)、物业租赁档案、日常管理档案等］。</w:t>
            </w:r>
          </w:p>
          <w:p w14:paraId="0BD173F2">
            <w:pPr>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440" w:lineRule="exact"/>
              <w:ind w:left="0" w:leftChars="0" w:firstLine="0" w:firstLineChars="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制定小区物业管理与服务工作计划，并组织实施。</w:t>
            </w:r>
          </w:p>
          <w:p w14:paraId="5CE2D23E">
            <w:pPr>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440" w:lineRule="exact"/>
              <w:ind w:left="0" w:leftChars="0" w:firstLine="0" w:firstLineChars="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建立健全的维修资金管理制度，对小区房屋维修资金进行账务管理，做到运作规范，账目清晰。</w:t>
            </w:r>
          </w:p>
          <w:p w14:paraId="53FF2198">
            <w:pPr>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440" w:lineRule="exact"/>
              <w:ind w:left="0" w:leftChars="0" w:firstLine="0" w:firstLineChars="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制定内部管理制度和考核制度。</w:t>
            </w:r>
          </w:p>
          <w:p w14:paraId="6826FEC4">
            <w:pPr>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440" w:lineRule="exact"/>
              <w:ind w:left="0" w:leftChars="0" w:firstLine="0" w:firstLineChars="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广泛运用计算机进行管理(含业主档案、房屋档案、设备档案、收费管理、日常管理等)。</w:t>
            </w:r>
          </w:p>
          <w:p w14:paraId="75F347EA">
            <w:pPr>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440" w:lineRule="exact"/>
              <w:ind w:left="0" w:leftChars="0" w:firstLine="0" w:firstLineChars="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服务窗口应公开办事制度、办事纪律、服务内容、收费项目和标准。</w:t>
            </w:r>
          </w:p>
          <w:p w14:paraId="359C1AD3">
            <w:pPr>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440" w:lineRule="exact"/>
              <w:ind w:left="0" w:leftChars="0" w:firstLine="0" w:firstLineChars="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综合管理的其它服务项目达到约定的服务标准。</w:t>
            </w:r>
          </w:p>
          <w:p w14:paraId="51E26D13">
            <w:pPr>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440" w:lineRule="exact"/>
              <w:ind w:left="0" w:leftChars="0" w:firstLine="0" w:firstLineChars="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能提供5种以上特约服务(有偿)和5种以上便民(无偿)服务；每年组织三次以上的社区活动。</w:t>
            </w:r>
          </w:p>
          <w:p w14:paraId="4864726B">
            <w:pPr>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440" w:lineRule="exact"/>
              <w:ind w:left="0" w:leftChars="0" w:firstLine="0" w:firstLineChars="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可釆取走访、问卷调查、通讯等多种形式与业主或使用人进行沟通或满意度测评，每年的沟通面不低于小区住户的90%。</w:t>
            </w:r>
          </w:p>
          <w:p w14:paraId="3B78185E">
            <w:pPr>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440" w:lineRule="exact"/>
              <w:ind w:left="0" w:leftChars="0" w:firstLine="0" w:firstLineChars="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对违反小区公约(临时公约)或政府有关规定的行为进行劝阻、制止或报有关部门处理。</w:t>
            </w:r>
          </w:p>
        </w:tc>
      </w:tr>
      <w:tr w14:paraId="10F8B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08" w:type="dxa"/>
            <w:noWrap w:val="0"/>
            <w:vAlign w:val="center"/>
          </w:tcPr>
          <w:p w14:paraId="4350406E">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440" w:lineRule="exact"/>
              <w:ind w:left="357" w:hanging="357"/>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5</w:t>
            </w:r>
          </w:p>
        </w:tc>
        <w:tc>
          <w:tcPr>
            <w:tcW w:w="1076" w:type="dxa"/>
            <w:noWrap w:val="0"/>
            <w:vAlign w:val="center"/>
          </w:tcPr>
          <w:p w14:paraId="1D2641C7">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公共区域卫生保洁服务</w:t>
            </w:r>
          </w:p>
        </w:tc>
        <w:tc>
          <w:tcPr>
            <w:tcW w:w="7884" w:type="dxa"/>
            <w:noWrap w:val="0"/>
            <w:vAlign w:val="center"/>
          </w:tcPr>
          <w:p w14:paraId="1510DDBE">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一、生活垃圾的收集、清运</w:t>
            </w:r>
          </w:p>
          <w:p w14:paraId="22F6884C">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（1）配置密闭式垃圾收集容器，有分类标志。</w:t>
            </w:r>
          </w:p>
          <w:p w14:paraId="620CACE6">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（2）生活垃圾实行分类收集。</w:t>
            </w:r>
          </w:p>
          <w:p w14:paraId="386FCE20">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（3）每日清洗2次垃圾收集容器。蝇、蚊孳生季节每日喷洒药水消毒。</w:t>
            </w:r>
          </w:p>
          <w:p w14:paraId="0ECD6083">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（4）每日清运2次生活垃圾，并清运到指定的垃圾收集场所，不得乱堆乱倒。</w:t>
            </w:r>
          </w:p>
          <w:p w14:paraId="65219917">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（5）保洁车外观整洁、摆放整齐。</w:t>
            </w:r>
          </w:p>
          <w:p w14:paraId="7D73BD57">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二、物业共用部分清洁</w:t>
            </w:r>
          </w:p>
          <w:p w14:paraId="741AC084">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（一）楼内公共区域</w:t>
            </w:r>
          </w:p>
          <w:p w14:paraId="7F60CBE5">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（1）地面和墙面：地面每日保洁两次以上；墙面保持无污渍；大堂、门厅花岗石、大理石地面每月保养一次，保持材质原貌，干净。</w:t>
            </w:r>
          </w:p>
          <w:p w14:paraId="17D7ACF4">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（2）楼梯扶手、栏杆：隔日擦抹一次，保持干净。</w:t>
            </w:r>
          </w:p>
          <w:p w14:paraId="46BA4636">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（3）消防栓、指示牌等公共设施：隔日擦抹一次，表面干净，无污渍。</w:t>
            </w:r>
          </w:p>
          <w:p w14:paraId="5FCAA643">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（4）天花板、公共灯具：每半月除尘一次，目视无灰尘、无污迹、无蜘蛛网。</w:t>
            </w:r>
          </w:p>
          <w:p w14:paraId="1CDBA6C0">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（5）门、窗等玻璃：保持洁净、光亮、无灰尘、无污迹。</w:t>
            </w:r>
          </w:p>
          <w:p w14:paraId="773027C2">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（6）天台、屋顶：保持清洁、无垃圾。</w:t>
            </w:r>
          </w:p>
          <w:p w14:paraId="7C8C9E4F">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（7）垃圾收集：按楼宇设置垃圾收集点，每日早晚定时清理二次；垃圾收集点周围地面无散落垃圾、无污迹、无异味。</w:t>
            </w:r>
          </w:p>
          <w:p w14:paraId="1AD4A8F7">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（8）电梯轿厢：每日保洁两次以上（如有地毯每换洗一次）；操作板每日消毒一次；每半月对电梯门壁打蜡上光一次，表面光亮，无污迹；轿厢壁无浮尘，不锈钢表光亮、无污迹。</w:t>
            </w:r>
          </w:p>
          <w:p w14:paraId="7C9CD246">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（二）楼外公共区域</w:t>
            </w:r>
          </w:p>
          <w:p w14:paraId="25F882D8">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（1）道路地面、绿地、明沟：道路、地面、绿地每日保洁两次以上，广场砖地面每周冲洗一次；目视地面干净，地面垃圾滞留时间不能超过一小时；明沟每日清扫一次，无杂物、无积水。</w:t>
            </w:r>
          </w:p>
          <w:p w14:paraId="1CBA9D35">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（2）公共灯具、宣传栏等：每日擦抹一次，目视无灰尘、明亮清洁（2米以上部位每半月擦抹、除尘一次）。</w:t>
            </w:r>
          </w:p>
          <w:p w14:paraId="5A84D567">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（3）水景：打捞漂浮杂物，保持水体清洁，水面无漂浮物；定期对水体投放药剂或进行其他处理，保持水体无异味。</w:t>
            </w:r>
          </w:p>
          <w:p w14:paraId="1CE6CA72">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（4）垃圾箱、果皮箱（容器）：对垃圾箱、果皮箱（容器）每日保洁两次以上，垃圾箱、果皮箱（容器）整洁、干净，无异味，灭害措施完善。</w:t>
            </w:r>
          </w:p>
          <w:p w14:paraId="21A499CA">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（5）消毒灭害：每月对窖井、明沟、垃圾房喷洒药水一次，每年灭鼠一次，并有记录。</w:t>
            </w:r>
          </w:p>
          <w:p w14:paraId="2AC8B4E4">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三、检查记录</w:t>
            </w:r>
          </w:p>
          <w:p w14:paraId="3C4782A3">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每日抽查1次清洁质量，做好记录。</w:t>
            </w:r>
          </w:p>
          <w:p w14:paraId="3B8CE6C0">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备注：</w:t>
            </w:r>
          </w:p>
          <w:p w14:paraId="2F5F4531">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（1）有无电梯、消防栓不作为保洁费用增减条件。</w:t>
            </w:r>
          </w:p>
          <w:p w14:paraId="41674432">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（2）外墙清洗的频次、标准与业主大会另行约定，费用按实结算分摊。</w:t>
            </w:r>
          </w:p>
        </w:tc>
      </w:tr>
      <w:tr w14:paraId="1D6DC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708" w:type="dxa"/>
            <w:noWrap w:val="0"/>
            <w:vAlign w:val="center"/>
          </w:tcPr>
          <w:p w14:paraId="65AA2B06">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440" w:lineRule="exact"/>
              <w:ind w:left="357" w:hanging="357"/>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6</w:t>
            </w:r>
          </w:p>
        </w:tc>
        <w:tc>
          <w:tcPr>
            <w:tcW w:w="1076" w:type="dxa"/>
            <w:noWrap w:val="0"/>
            <w:vAlign w:val="center"/>
          </w:tcPr>
          <w:p w14:paraId="3910BA58">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公共秩序维护</w:t>
            </w:r>
          </w:p>
        </w:tc>
        <w:tc>
          <w:tcPr>
            <w:tcW w:w="7884" w:type="dxa"/>
            <w:noWrap w:val="0"/>
            <w:vAlign w:val="top"/>
          </w:tcPr>
          <w:p w14:paraId="21534DE0">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一、人员要求</w:t>
            </w:r>
          </w:p>
          <w:p w14:paraId="461FBDB0">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（1）专职护卫人员，以中青年为主，年龄38周岁以下（含38周岁）、身高175cm以上（含175cm）的人员占总数的60%以上，身体健康，工作认真负责并定期接受专业培训。</w:t>
            </w:r>
          </w:p>
          <w:p w14:paraId="71D9CE38">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（2）能处理和应对小区公共秩序维护工作，能正确性使用消防、技防器械和设备，能够熟悉、掌握各类治安案件和各类灾害事故的应急预案。</w:t>
            </w:r>
          </w:p>
          <w:p w14:paraId="403C325B">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（3）上岗时佩带统一标志、统一着装，仪容仪表行为规范，主动热情，具有良好的素质。</w:t>
            </w:r>
            <w:r>
              <w:rPr>
                <w:rFonts w:hint="eastAsia" w:ascii="宋体" w:hAnsi="宋体" w:eastAsia="宋体" w:cs="宋体"/>
                <w:b w:val="0"/>
                <w:bCs w:val="0"/>
                <w:color w:val="auto"/>
                <w:kern w:val="2"/>
                <w:sz w:val="21"/>
                <w:szCs w:val="21"/>
                <w:highlight w:val="none"/>
                <w:lang w:val="en-US" w:eastAsia="zh-CN" w:bidi="ar-SA"/>
              </w:rPr>
              <w:tab/>
            </w:r>
          </w:p>
          <w:p w14:paraId="31E5C717">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（4）配备对讲装置和其他必备的安全护卫器械。</w:t>
            </w:r>
          </w:p>
          <w:p w14:paraId="0F18E8BE">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二、门岗巡逻岗</w:t>
            </w:r>
          </w:p>
          <w:p w14:paraId="65385662">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（1）各出入口24小时值班看守，其中主出入口双人值勤，上下班期间立岗，并有详细交接班记录和外来车辆的登记记录。</w:t>
            </w:r>
          </w:p>
          <w:p w14:paraId="0FE37069">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（2）外来人员进入小区，通过对讲、电话或其他方式联系住户，并进行登记。</w:t>
            </w:r>
          </w:p>
          <w:p w14:paraId="21834B81">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（3）对进出小区的车辆进行管理和疏导，保持出入口环境整洁、有序、道路畅通；对大型物件搬出实行记录。</w:t>
            </w:r>
          </w:p>
          <w:p w14:paraId="53B2536D">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（4）保安人员手持巡更釆集器按指定的时间和路线每二小时巡查一次，重点部位(小区道路、单元出入口、楼层和地下车库)应设巡更点。监控中心有巡更记录。</w:t>
            </w:r>
          </w:p>
          <w:p w14:paraId="13A804A5">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（5）接到火警、警情后及时到达现场，协助保持现场，并报告管理与警方。</w:t>
            </w:r>
          </w:p>
          <w:p w14:paraId="60F68D49">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（6）在遇到异常情况或住户紧急求助时，及时赶到现场，釆取相应措施。</w:t>
            </w:r>
          </w:p>
          <w:p w14:paraId="5AD852B8">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三、技防设施和救助</w:t>
            </w:r>
          </w:p>
          <w:p w14:paraId="0C8EF0C4">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（1）小区设有监控中心，应具备录像监控(监控点应至少覆盖小区主要道路出入口)、楼宇对讲(可视)、周界报警(全封闭)、住户报告警等技防设施，24小时开通，并有人驻守，注视各设备所传达的信息。</w:t>
            </w:r>
          </w:p>
          <w:p w14:paraId="63CC862D">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（2）控制中心接到报警信号后，保安人员及时赶到现场进行处理，同时中心应接受用户救助要求，解答用户询问。</w:t>
            </w:r>
          </w:p>
          <w:p w14:paraId="01783F96">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（3）小区有火警、警情应急预案，并在监控中心控制室内悬挂；每年应组织不少于一次的防火应急预案演习。</w:t>
            </w:r>
          </w:p>
        </w:tc>
      </w:tr>
      <w:tr w14:paraId="3EDAF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0" w:hRule="atLeast"/>
          <w:jc w:val="center"/>
        </w:trPr>
        <w:tc>
          <w:tcPr>
            <w:tcW w:w="708" w:type="dxa"/>
            <w:noWrap w:val="0"/>
            <w:vAlign w:val="center"/>
          </w:tcPr>
          <w:p w14:paraId="51C4A861">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440" w:lineRule="exact"/>
              <w:ind w:left="357" w:hanging="357"/>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7</w:t>
            </w:r>
          </w:p>
        </w:tc>
        <w:tc>
          <w:tcPr>
            <w:tcW w:w="1076" w:type="dxa"/>
            <w:noWrap w:val="0"/>
            <w:vAlign w:val="center"/>
          </w:tcPr>
          <w:p w14:paraId="08386182">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停车管理</w:t>
            </w:r>
          </w:p>
        </w:tc>
        <w:tc>
          <w:tcPr>
            <w:tcW w:w="7884" w:type="dxa"/>
            <w:noWrap w:val="0"/>
            <w:vAlign w:val="center"/>
          </w:tcPr>
          <w:p w14:paraId="079CE122">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（1）地面、墙面按车辆道路行驶要求设立指示牌和地标，车辆行驶有规定路线，车辆停放有序。</w:t>
            </w:r>
          </w:p>
          <w:p w14:paraId="77BF02B0">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（2）有专职人员24小时巡视和协助停车事宜。</w:t>
            </w:r>
          </w:p>
          <w:p w14:paraId="5DB1E016">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（3）收费管理的车库(棚)应24小时有专人管理，车辆停放有序，地面、墙面按车辆道路行驶要求设立指示牌和地标，照明、消防器械配置齐全，无渗漏，无积水，通风良好，无易燃、易爆及危险品存放。</w:t>
            </w:r>
          </w:p>
        </w:tc>
      </w:tr>
      <w:tr w14:paraId="47C82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8" w:type="dxa"/>
            <w:noWrap w:val="0"/>
            <w:vAlign w:val="center"/>
          </w:tcPr>
          <w:p w14:paraId="3DB823C9">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440" w:lineRule="exact"/>
              <w:ind w:left="357" w:hanging="357"/>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8</w:t>
            </w:r>
          </w:p>
        </w:tc>
        <w:tc>
          <w:tcPr>
            <w:tcW w:w="1076" w:type="dxa"/>
            <w:noWrap w:val="0"/>
            <w:vAlign w:val="center"/>
          </w:tcPr>
          <w:p w14:paraId="264355DB">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公共绿化养护</w:t>
            </w:r>
          </w:p>
        </w:tc>
        <w:tc>
          <w:tcPr>
            <w:tcW w:w="7884" w:type="dxa"/>
            <w:noWrap w:val="0"/>
            <w:vAlign w:val="center"/>
          </w:tcPr>
          <w:p w14:paraId="5FEE1EF2">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一、基本要求：</w:t>
            </w:r>
          </w:p>
          <w:p w14:paraId="15714B92">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（1）地总体布局均衡，景观效果明显，集中绿地率30%以上。</w:t>
            </w:r>
          </w:p>
          <w:p w14:paraId="2E0F3926">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（2）运用植物、山石、水体等设置景点，且与环境协调、效果好。</w:t>
            </w:r>
          </w:p>
          <w:p w14:paraId="2944FE81">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（3）乔、灌、地被、草配植科学，层次较丰富，季节分明。售绿地布置全冠大树。</w:t>
            </w:r>
          </w:p>
          <w:p w14:paraId="5CCAE2EB">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（4）绿地保存率100%,乔、灌、草等保存率98%以上。绿地设施、硬质景观保持常年完好。</w:t>
            </w:r>
          </w:p>
          <w:p w14:paraId="27E8F843">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二、草坪</w:t>
            </w:r>
          </w:p>
          <w:p w14:paraId="727D391C">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（1）修剪：草坪常年保持平整。</w:t>
            </w:r>
          </w:p>
          <w:p w14:paraId="67F7FEF2">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（2）清杂草：及时清除杂草，做到基本无杂草。</w:t>
            </w:r>
          </w:p>
          <w:p w14:paraId="5220EE78">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（3）灌、排水：常年保证有效供水，草地充分生长，有覆沙调整,地形平整、流畅。</w:t>
            </w:r>
          </w:p>
          <w:p w14:paraId="0702FD5B">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（4）施肥：按肥力、草种、生长情况，适时适量施肥。</w:t>
            </w:r>
          </w:p>
          <w:p w14:paraId="641F9DCC">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（5）病虫害防治：预防为主、综合治理，严格控制病虫害。</w:t>
            </w:r>
          </w:p>
          <w:p w14:paraId="01B9720F">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三、树木</w:t>
            </w:r>
          </w:p>
          <w:p w14:paraId="042934DB">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（1）修剪：乔、灌木每年进行修剪，无枯枝、萌蘖枝；篱、球造型植物按生长情况、造型要求及时修剪，做到枝叶茂密、圆整、无脱节；地被、攀援植物修剪、整理及时，基本无枯枝。</w:t>
            </w:r>
          </w:p>
          <w:p w14:paraId="3BBAA2DA">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（2）中耕除草、松土：常年土壤疏松通透，无杂草。</w:t>
            </w:r>
          </w:p>
          <w:p w14:paraId="127B7F7F">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（3）施肥：按植物品种、生长、土壤状况适时施肥。每年按规范施肥，满足植物生长需要。</w:t>
            </w:r>
          </w:p>
          <w:p w14:paraId="75DEC6B7">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（4）病虫害防治：预防为主、生态治理。</w:t>
            </w:r>
          </w:p>
          <w:p w14:paraId="24657E48">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（5）扶正加固：树木基本无倾斜。</w:t>
            </w:r>
          </w:p>
          <w:p w14:paraId="0A6B8D6F">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（6）其它：乔灌木生长健壮，树冠完整，形态优美；花灌木按时开结果；球、篱、地被生长茂盛，无缺枝、空档。</w:t>
            </w:r>
          </w:p>
          <w:p w14:paraId="4DD045F0">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三、花坛花境</w:t>
            </w:r>
          </w:p>
          <w:p w14:paraId="18AF008E">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（1）布置：每年中有三次以上花卉布置，四季有花。</w:t>
            </w:r>
          </w:p>
          <w:p w14:paraId="16339950">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（2）灌、排水：保持有效供水，无积水。</w:t>
            </w:r>
          </w:p>
          <w:p w14:paraId="165F6A26">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（3）补种：缺枝倒伏及时补种。</w:t>
            </w:r>
          </w:p>
          <w:p w14:paraId="02DA97C9">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（4）修剪、施肥：及时清除枯萎的花蒂、黄叶、杂草、垃圾；每年按时施肥。</w:t>
            </w:r>
          </w:p>
          <w:p w14:paraId="5D5D1656">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（5）病虫害防治：适时做好病虫害防治。</w:t>
            </w:r>
          </w:p>
          <w:p w14:paraId="09531E5C">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四、检查记录</w:t>
            </w:r>
          </w:p>
          <w:p w14:paraId="660150AE">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每半年检查植物生长情况1次，并对养护工作内容进行记录。</w:t>
            </w:r>
          </w:p>
          <w:p w14:paraId="3AADE5DA">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备注：</w:t>
            </w:r>
          </w:p>
          <w:p w14:paraId="7E14957F">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绿地以种植面积计算：地下车库顶上绿地按实际种植面积计算；棚架按垂直投影面积计算；行道、散植树按树冠垂直投影面积的1/5折算；嵌草停车地坪按地坪面积的1/10折算;墙面垂直绿化按实际覆盖面积的1/10折算；未定事项可按商定计算。</w:t>
            </w:r>
          </w:p>
          <w:p w14:paraId="1E2FDF19">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2、面积的计算以建设单位提供的绿化竣工图为主，以实地丈量为辅。</w:t>
            </w:r>
          </w:p>
          <w:p w14:paraId="7D9A1587">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3、因修剪等产生的废弃物，整理集中堆放，清运及时；树上悬挂物及时清除；发现死树及时清除、适时补种，保持绿地内清洁整齐。</w:t>
            </w:r>
          </w:p>
          <w:p w14:paraId="00E08254">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4、植物灌溉以保持土壤有效水份为原则，应按气候、立地条件、品种、生长等情况酌情增减浇水次数。</w:t>
            </w:r>
          </w:p>
          <w:p w14:paraId="6A2463C6">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5、使用化学药剂，必须严格执行国家现行有关规定。应选用高效低毒、低残留的药剂控制有害生物的危害，并在喷药前安民告示。</w:t>
            </w:r>
          </w:p>
        </w:tc>
      </w:tr>
      <w:tr w14:paraId="13DBC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jc w:val="center"/>
        </w:trPr>
        <w:tc>
          <w:tcPr>
            <w:tcW w:w="708" w:type="dxa"/>
            <w:noWrap w:val="0"/>
            <w:vAlign w:val="center"/>
          </w:tcPr>
          <w:p w14:paraId="7FED2957">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440" w:lineRule="exact"/>
              <w:ind w:left="357" w:hanging="357"/>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9</w:t>
            </w:r>
          </w:p>
        </w:tc>
        <w:tc>
          <w:tcPr>
            <w:tcW w:w="1076" w:type="dxa"/>
            <w:noWrap w:val="0"/>
            <w:vAlign w:val="center"/>
          </w:tcPr>
          <w:p w14:paraId="5C90CA85">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共用部位及共用设施设备维修养护管理</w:t>
            </w:r>
          </w:p>
        </w:tc>
        <w:tc>
          <w:tcPr>
            <w:tcW w:w="7884" w:type="dxa"/>
            <w:noWrap w:val="0"/>
            <w:vAlign w:val="center"/>
          </w:tcPr>
          <w:p w14:paraId="20805D70">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一、综合管理</w:t>
            </w:r>
          </w:p>
          <w:p w14:paraId="75184633">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（1）建立房屋及共用设施设备档案，有运行、检查、维修养护记录。</w:t>
            </w:r>
          </w:p>
          <w:p w14:paraId="73B2FF8C">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（2）按照相关规定，及时对房屋使用安全情况进行评估检查。</w:t>
            </w:r>
          </w:p>
          <w:p w14:paraId="25731E35">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（3）每年第四季度制定下一年度维修养护计划并组织实施。</w:t>
            </w:r>
          </w:p>
          <w:p w14:paraId="7008E922">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（4）对共用部位及共用设施设备进行巡视检查和维修养护并做好记录。</w:t>
            </w:r>
          </w:p>
          <w:p w14:paraId="2D9FA4CA">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（5）特种设备按照有关规定运行、维修养护和定期检验检测并做好记录。</w:t>
            </w:r>
          </w:p>
          <w:p w14:paraId="2A851AC9">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（6）在发生雷暴、强降水、大风、沙尘暴等极端天气前后，要组织专项检查并做好记录。</w:t>
            </w:r>
          </w:p>
          <w:p w14:paraId="3DC932DD">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7）设备机房。每周巡视3次、每月清洁1次，机房内不得堆积杂物；按规范设置鼠药盒或粘鼠板、挡鼠板；在明显易取位置配备消防灭火器材，并定期检查器材完好情况；设施设备标志、标牌齐全；在显著位置张贴或悬挂相关制度、证书；交接班记录齐全、完整。</w:t>
            </w:r>
          </w:p>
          <w:p w14:paraId="42485A1C">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二、共用部位</w:t>
            </w:r>
          </w:p>
          <w:p w14:paraId="4C544F31">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（1）房屋结构：每年定期对房屋结构、安全的部位进行检查并有记录，发现损坏及时安排专项修理并告知相关业主、使用人。</w:t>
            </w:r>
          </w:p>
          <w:p w14:paraId="79F43719">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（2）门窗：定期巡视楼内公共部位门窗，保持玻璃、门窗配件完好，门窗开闭灵活并无异常声响。</w:t>
            </w:r>
          </w:p>
          <w:p w14:paraId="2CD7EA2B">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（3）楼内墙面、顶面、地面：墙面、顶面粉刷层无剥落，面砖、地砖平整不起壳，无缺损。</w:t>
            </w:r>
          </w:p>
          <w:p w14:paraId="3E36977F">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（4）管道、排水沟、屋顶：定期对屋面泄水沟、室内外排水管道进行清扫、疏通，保障排水畅通（6月至9月每检査一次），定期检査屋顶，发现防水层有气臓、碎裂，隔热板有断裂、缺损的，应及时修理。</w:t>
            </w:r>
          </w:p>
          <w:p w14:paraId="79FAE2CD">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（5）围墙：定期巡査围墙，发现损坏立即修复；铁栅栏围墙表面无明显锈蚀，保持围墙完好。</w:t>
            </w:r>
          </w:p>
          <w:p w14:paraId="7278047A">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（6）道路、场地等：每周定期巡査道路、路面、侧石、井盖等，发现损坏及时修复，保持路面基本平整、无破损、无积水，侧石平直无缺损。</w:t>
            </w:r>
          </w:p>
          <w:p w14:paraId="79665C8B">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（7）休闲椅、凉亭、雕塑、景观小品：定期对休闲椅、凉亭、雕塑、景观小品等进行巡査，发现损坏立即修复，保持原有面貌，保证其安全使用。</w:t>
            </w:r>
          </w:p>
          <w:p w14:paraId="1B686F16">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（8）室外健身设施、休闲场地、乐园等：定期巡查，发现损坏立即修复，保证器械、设施的安全使用（如需更换的除外）。</w:t>
            </w:r>
          </w:p>
          <w:p w14:paraId="14D0D36E">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（9）安全标志等：对危险隐患部位设置安全防范警示标志，并在主要通道设置安全疏散指示和事故照明设施。保证标志清晰完整，设施运行正常。</w:t>
            </w:r>
          </w:p>
          <w:p w14:paraId="671FE7CA">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备注：</w:t>
            </w:r>
          </w:p>
          <w:p w14:paraId="4A605395">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1、用于共用部位零星修理和常规养护。</w:t>
            </w:r>
            <w:r>
              <w:rPr>
                <w:rFonts w:hint="eastAsia" w:ascii="宋体" w:hAnsi="宋体" w:eastAsia="宋体" w:cs="宋体"/>
                <w:b/>
                <w:bCs/>
                <w:color w:val="auto"/>
                <w:kern w:val="2"/>
                <w:sz w:val="21"/>
                <w:szCs w:val="21"/>
                <w:highlight w:val="none"/>
                <w:lang w:val="en-US" w:eastAsia="zh-CN" w:bidi="ar-SA"/>
              </w:rPr>
              <w:t>投标供应商在投标时考虑此项费用</w:t>
            </w:r>
            <w:r>
              <w:rPr>
                <w:rFonts w:hint="eastAsia" w:ascii="宋体" w:hAnsi="宋体" w:eastAsia="宋体" w:cs="宋体"/>
                <w:b w:val="0"/>
                <w:bCs w:val="0"/>
                <w:color w:val="auto"/>
                <w:kern w:val="2"/>
                <w:sz w:val="21"/>
                <w:szCs w:val="21"/>
                <w:highlight w:val="none"/>
                <w:lang w:val="en-US" w:eastAsia="zh-CN" w:bidi="ar-SA"/>
              </w:rPr>
              <w:t>。</w:t>
            </w:r>
          </w:p>
          <w:p w14:paraId="1A31E1FE">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w:t>
            </w:r>
            <w:r>
              <w:rPr>
                <w:rFonts w:hint="eastAsia" w:ascii="宋体" w:hAnsi="宋体" w:eastAsia="宋体" w:cs="宋体"/>
                <w:b w:val="0"/>
                <w:bCs w:val="0"/>
                <w:color w:val="auto"/>
                <w:kern w:val="2"/>
                <w:sz w:val="21"/>
                <w:szCs w:val="21"/>
                <w:highlight w:val="none"/>
                <w:lang w:val="en-US" w:eastAsia="zh-CN" w:bidi="ar-SA"/>
              </w:rPr>
              <w:tab/>
            </w:r>
            <w:r>
              <w:rPr>
                <w:rFonts w:hint="eastAsia" w:ascii="宋体" w:hAnsi="宋体" w:eastAsia="宋体" w:cs="宋体"/>
                <w:b w:val="0"/>
                <w:bCs w:val="0"/>
                <w:color w:val="auto"/>
                <w:kern w:val="2"/>
                <w:sz w:val="21"/>
                <w:szCs w:val="21"/>
                <w:highlight w:val="none"/>
                <w:lang w:val="en-US" w:eastAsia="zh-CN" w:bidi="ar-SA"/>
              </w:rPr>
              <w:t>零星修理的范围包括：</w:t>
            </w:r>
          </w:p>
          <w:p w14:paraId="05F7C173">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（1）内外墙面（墙面砖、涂料）小面积修补（每处1平方米以下）。</w:t>
            </w:r>
          </w:p>
          <w:p w14:paraId="25A46B74">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（2）更换公共走道门窗五金件。</w:t>
            </w:r>
          </w:p>
          <w:p w14:paraId="3B2F2FE2">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（3）疏通浇水管、闱水管等排水、排污管道。</w:t>
            </w:r>
          </w:p>
          <w:p w14:paraId="771589FB">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（4）更换公共走道门窗玻璃（单块面积小于1平方米）；超出部分申请维修资金。</w:t>
            </w:r>
          </w:p>
          <w:p w14:paraId="552D3337">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（5）街坊道路侧石、路面修补（单块长度小于1米或面积小于1平方米）。</w:t>
            </w:r>
          </w:p>
          <w:p w14:paraId="1C080341">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（6）设施、设备标识修补。</w:t>
            </w:r>
          </w:p>
          <w:p w14:paraId="39EF0CFF">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（7）扶手、栏杆、灯杆等补刷油漆。</w:t>
            </w:r>
          </w:p>
          <w:p w14:paraId="00154A4F">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3、除以上零星维修的范围的基础上，还包括本级中涉及的其它共用部位或设施的零星维修。</w:t>
            </w:r>
          </w:p>
          <w:p w14:paraId="7EDB4322">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4、按有关规定属建设单位负责保养（修）设施（备）的费用由建设单位承担。</w:t>
            </w:r>
          </w:p>
        </w:tc>
      </w:tr>
      <w:tr w14:paraId="45B47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8" w:type="dxa"/>
            <w:noWrap w:val="0"/>
            <w:vAlign w:val="center"/>
          </w:tcPr>
          <w:p w14:paraId="67A96791">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440" w:lineRule="exact"/>
              <w:ind w:left="357" w:hanging="357"/>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10</w:t>
            </w:r>
          </w:p>
        </w:tc>
        <w:tc>
          <w:tcPr>
            <w:tcW w:w="1076" w:type="dxa"/>
            <w:noWrap w:val="0"/>
            <w:vAlign w:val="center"/>
          </w:tcPr>
          <w:p w14:paraId="263EBB8D">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供水系统</w:t>
            </w:r>
          </w:p>
        </w:tc>
        <w:tc>
          <w:tcPr>
            <w:tcW w:w="7884" w:type="dxa"/>
            <w:noWrap w:val="0"/>
            <w:vAlign w:val="top"/>
          </w:tcPr>
          <w:p w14:paraId="5E67CA46">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普通水泵：</w:t>
            </w:r>
          </w:p>
          <w:p w14:paraId="7F8A07A3">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1、定期对供水设备进行检査，对水泵润滑点加油，对泵房、管道、水泵等进行除锈、油漆、保养，保证二次供水正常，泵房整洁。</w:t>
            </w:r>
          </w:p>
          <w:p w14:paraId="43B6F5DC">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2、定期清洗水箱、蓄水池，二次供水水质符合国家生活用水标准。</w:t>
            </w:r>
          </w:p>
          <w:p w14:paraId="6104BAF6">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3、定期对高层房屋减压阀进行测压度做好记录。</w:t>
            </w:r>
          </w:p>
          <w:p w14:paraId="3EB036FB">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4、水箱、蓄水池盖板应保持完好并加锁，溢流管口必须安装金属防护网并完好，每年秋、冬季对暴露水管进行防冻保养。</w:t>
            </w:r>
          </w:p>
          <w:p w14:paraId="26C42CD3">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备注：</w:t>
            </w:r>
          </w:p>
          <w:p w14:paraId="2D1ACFE1">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供水系统成本构成：</w:t>
            </w:r>
          </w:p>
          <w:p w14:paraId="2A8D7844">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w:t>
            </w:r>
            <w:r>
              <w:rPr>
                <w:rFonts w:hint="eastAsia" w:ascii="宋体" w:hAnsi="宋体" w:eastAsia="宋体" w:cs="宋体"/>
                <w:b w:val="0"/>
                <w:bCs w:val="0"/>
                <w:color w:val="auto"/>
                <w:kern w:val="2"/>
                <w:sz w:val="21"/>
                <w:szCs w:val="21"/>
                <w:highlight w:val="none"/>
                <w:lang w:val="en-US" w:eastAsia="zh-CN" w:bidi="ar-SA"/>
              </w:rPr>
              <w:tab/>
            </w:r>
            <w:r>
              <w:rPr>
                <w:rFonts w:hint="eastAsia" w:ascii="宋体" w:hAnsi="宋体" w:eastAsia="宋体" w:cs="宋体"/>
                <w:b w:val="0"/>
                <w:bCs w:val="0"/>
                <w:color w:val="auto"/>
                <w:kern w:val="2"/>
                <w:sz w:val="21"/>
                <w:szCs w:val="21"/>
                <w:highlight w:val="none"/>
                <w:lang w:val="en-US" w:eastAsia="zh-CN" w:bidi="ar-SA"/>
              </w:rPr>
              <w:t>普通水泵：供水运行(电耗)、供水设备保养、水池、水箱清洗、水质抽样化验.</w:t>
            </w:r>
          </w:p>
          <w:p w14:paraId="07F9EF9B">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w:t>
            </w:r>
            <w:r>
              <w:rPr>
                <w:rFonts w:hint="eastAsia" w:ascii="宋体" w:hAnsi="宋体" w:eastAsia="宋体" w:cs="宋体"/>
                <w:b w:val="0"/>
                <w:bCs w:val="0"/>
                <w:color w:val="auto"/>
                <w:kern w:val="2"/>
                <w:sz w:val="21"/>
                <w:szCs w:val="21"/>
                <w:highlight w:val="none"/>
                <w:lang w:val="en-US" w:eastAsia="zh-CN" w:bidi="ar-SA"/>
              </w:rPr>
              <w:tab/>
            </w:r>
            <w:r>
              <w:rPr>
                <w:rFonts w:hint="eastAsia" w:ascii="宋体" w:hAnsi="宋体" w:eastAsia="宋体" w:cs="宋体"/>
                <w:b w:val="0"/>
                <w:bCs w:val="0"/>
                <w:color w:val="auto"/>
                <w:kern w:val="2"/>
                <w:sz w:val="21"/>
                <w:szCs w:val="21"/>
                <w:highlight w:val="none"/>
                <w:lang w:val="en-US" w:eastAsia="zh-CN" w:bidi="ar-SA"/>
              </w:rPr>
              <w:t>变频水泵：供水运行(电耗)、供水设备保养、蓄水池清洗.</w:t>
            </w:r>
          </w:p>
        </w:tc>
      </w:tr>
      <w:tr w14:paraId="4FC6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8" w:type="dxa"/>
            <w:noWrap w:val="0"/>
            <w:vAlign w:val="center"/>
          </w:tcPr>
          <w:p w14:paraId="48365527">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440" w:lineRule="exact"/>
              <w:ind w:left="357" w:hanging="357"/>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11</w:t>
            </w:r>
          </w:p>
        </w:tc>
        <w:tc>
          <w:tcPr>
            <w:tcW w:w="1076" w:type="dxa"/>
            <w:noWrap w:val="0"/>
            <w:vAlign w:val="center"/>
          </w:tcPr>
          <w:p w14:paraId="7DAB61B2">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公共照明</w:t>
            </w:r>
          </w:p>
        </w:tc>
        <w:tc>
          <w:tcPr>
            <w:tcW w:w="7884" w:type="dxa"/>
            <w:noWrap w:val="0"/>
            <w:vAlign w:val="top"/>
          </w:tcPr>
          <w:p w14:paraId="7F00EC0E">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1、公共灯：及时修复损坏的灯座、灯泡、开关等，保持灯具完好,小区内楼道灯、街坊灯亮灯率在99%以上。</w:t>
            </w:r>
          </w:p>
          <w:p w14:paraId="44106B6B">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2、景观灯、节日彩灯、大堂吊灯等：保持灯具完好，亮灯率在99%以上。</w:t>
            </w:r>
          </w:p>
          <w:p w14:paraId="4E0ADDB3">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3、公共电气柜：定期巡查室内、室外公共电气柜，及时保养室内、室外公共电气柜，保证电气设备运行安全正常。</w:t>
            </w:r>
          </w:p>
          <w:p w14:paraId="22D0D05C">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4、大堂空调：大堂分体空调使用期间定期清洗、保养，保证其正常使用。</w:t>
            </w:r>
          </w:p>
        </w:tc>
      </w:tr>
      <w:tr w14:paraId="56A34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8" w:type="dxa"/>
            <w:noWrap w:val="0"/>
            <w:vAlign w:val="center"/>
          </w:tcPr>
          <w:p w14:paraId="610A6926">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440" w:lineRule="exact"/>
              <w:ind w:left="357" w:hanging="357"/>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12</w:t>
            </w:r>
          </w:p>
        </w:tc>
        <w:tc>
          <w:tcPr>
            <w:tcW w:w="1076" w:type="dxa"/>
            <w:noWrap w:val="0"/>
            <w:vAlign w:val="center"/>
          </w:tcPr>
          <w:p w14:paraId="4747FAD4">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消防设施、设备</w:t>
            </w:r>
          </w:p>
        </w:tc>
        <w:tc>
          <w:tcPr>
            <w:tcW w:w="7884" w:type="dxa"/>
            <w:noWrap w:val="0"/>
            <w:vAlign w:val="top"/>
          </w:tcPr>
          <w:p w14:paraId="21A32AB4">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1、消防泵定期启动并作记录，每年保养一次，保证其运行正常。</w:t>
            </w:r>
          </w:p>
          <w:p w14:paraId="751EB2ED">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2、消防栓定期巡査，消防栓箱内各种配件完好。</w:t>
            </w:r>
          </w:p>
          <w:p w14:paraId="0FA6D4E2">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3、定期检査火警功能、报警功能是否正常。</w:t>
            </w:r>
          </w:p>
          <w:p w14:paraId="4FABC9D5">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4、每年定期试验探险测器，并对全部控制装置进行试验，火灾探测器投入运行二年后，应每隔三年全部清洗一次，不合格的应当调换。</w:t>
            </w:r>
          </w:p>
          <w:p w14:paraId="2C037B17">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4、定期检查消防水带、阀杆处加注润滑油并作放水检査。</w:t>
            </w:r>
          </w:p>
          <w:p w14:paraId="1DF3954A">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5、定期检查灭火器，临近失效立即更新或充压。</w:t>
            </w:r>
          </w:p>
          <w:p w14:paraId="61B294C3">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备注：</w:t>
            </w:r>
          </w:p>
          <w:p w14:paraId="01AFE4CF">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消防系统成本构成：</w:t>
            </w:r>
          </w:p>
          <w:p w14:paraId="642603C3">
            <w:pPr>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0" w:afterAutospacing="0" w:line="440" w:lineRule="exact"/>
              <w:ind w:left="0" w:leftChars="0" w:firstLine="0" w:firstLineChars="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消防设施、器材保养.</w:t>
            </w:r>
          </w:p>
          <w:p w14:paraId="1F419156">
            <w:pPr>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0" w:afterAutospacing="0" w:line="440" w:lineRule="exact"/>
              <w:ind w:left="0" w:leftChars="0" w:firstLine="0" w:firstLineChars="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消防设施年安全检测。</w:t>
            </w:r>
          </w:p>
          <w:p w14:paraId="0CDAEC81">
            <w:pPr>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0" w:afterAutospacing="0" w:line="440" w:lineRule="exact"/>
              <w:ind w:left="0" w:leftChars="0" w:firstLine="0" w:firstLineChars="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灭火器更换(首次配备不计入本费用中)。</w:t>
            </w:r>
          </w:p>
          <w:p w14:paraId="1950858A">
            <w:pPr>
              <w:keepNext w:val="0"/>
              <w:keepLines w:val="0"/>
              <w:pageBreakBefore w:val="0"/>
              <w:widowControl w:val="0"/>
              <w:numPr>
                <w:ilvl w:val="0"/>
                <w:numId w:val="2"/>
              </w:numPr>
              <w:kinsoku/>
              <w:wordWrap/>
              <w:overflowPunct/>
              <w:topLinePunct w:val="0"/>
              <w:autoSpaceDE/>
              <w:autoSpaceDN/>
              <w:bidi w:val="0"/>
              <w:adjustRightInd/>
              <w:snapToGrid/>
              <w:spacing w:before="0" w:beforeAutospacing="0" w:after="0" w:afterAutospacing="0" w:line="440" w:lineRule="exact"/>
              <w:ind w:left="0" w:leftChars="0" w:firstLine="0" w:firstLineChars="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地下车库或其它非共用部位设置的消防报警装置维修养护费用未计入此费用中。</w:t>
            </w:r>
          </w:p>
        </w:tc>
      </w:tr>
      <w:tr w14:paraId="1179C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8" w:type="dxa"/>
            <w:noWrap w:val="0"/>
            <w:vAlign w:val="center"/>
          </w:tcPr>
          <w:p w14:paraId="711E4288">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440" w:lineRule="exact"/>
              <w:ind w:left="357" w:hanging="357"/>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13</w:t>
            </w:r>
          </w:p>
        </w:tc>
        <w:tc>
          <w:tcPr>
            <w:tcW w:w="1076" w:type="dxa"/>
            <w:noWrap w:val="0"/>
            <w:vAlign w:val="center"/>
          </w:tcPr>
          <w:p w14:paraId="6AADD488">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避雷系统</w:t>
            </w:r>
          </w:p>
        </w:tc>
        <w:tc>
          <w:tcPr>
            <w:tcW w:w="7884" w:type="dxa"/>
            <w:noWrap w:val="0"/>
            <w:vAlign w:val="top"/>
          </w:tcPr>
          <w:p w14:paraId="1D3DBCAF">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每年定期检査避雷装置，12层以上的楼宇每年应测试一次，保证其性能符合国家相关标准。</w:t>
            </w:r>
          </w:p>
          <w:p w14:paraId="769A9351">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备注：</w:t>
            </w:r>
          </w:p>
          <w:p w14:paraId="51A4D29E">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避雷系统成本构成：(1)避雷系统保养、(2)避雷系统年安全检测费。</w:t>
            </w:r>
          </w:p>
        </w:tc>
      </w:tr>
      <w:tr w14:paraId="3A7E1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8" w:type="dxa"/>
            <w:noWrap w:val="0"/>
            <w:vAlign w:val="center"/>
          </w:tcPr>
          <w:p w14:paraId="3FC4C3A0">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440" w:lineRule="exact"/>
              <w:ind w:left="357" w:hanging="357"/>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14</w:t>
            </w:r>
          </w:p>
        </w:tc>
        <w:tc>
          <w:tcPr>
            <w:tcW w:w="1076" w:type="dxa"/>
            <w:noWrap w:val="0"/>
            <w:vAlign w:val="center"/>
          </w:tcPr>
          <w:p w14:paraId="62DC35BB">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弱电系统</w:t>
            </w:r>
          </w:p>
        </w:tc>
        <w:tc>
          <w:tcPr>
            <w:tcW w:w="7884" w:type="dxa"/>
            <w:noWrap w:val="0"/>
            <w:vAlign w:val="top"/>
          </w:tcPr>
          <w:p w14:paraId="747B0180">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周界报警：24小时设防并正常运行，不定期进行调试与保养，保证该系统的警戒线封闭、无盲区和死角，保证中心控制室能通过显示屏、报警控制器或电子地图准确地识别报警区域，收互警情时，能同时发出声光报警信号。</w:t>
            </w:r>
          </w:p>
          <w:p w14:paraId="46E6F6BA">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2、监视系统：不定期进行调试与保养，保证各项监控设备24小时正常运行，能清楚显示出入人员的面部特征和车辆的车牌号，录像功能正常。</w:t>
            </w:r>
          </w:p>
          <w:p w14:paraId="321E7334">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3、电子巡更：根据需要设定巡更路线、时间，不定期地进行调试与保养，保证其正常运行，保持巡更时间、地点、人员和顺序等数据的显示、归档、査询和打印等功能正常，巡更违规记录提示功能正常。</w:t>
            </w:r>
          </w:p>
          <w:p w14:paraId="16AD9A93">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备注：成本构成:系统运行、日常维护保养、系统设备的维修。</w:t>
            </w:r>
          </w:p>
        </w:tc>
      </w:tr>
      <w:tr w14:paraId="586E2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8" w:type="dxa"/>
            <w:noWrap w:val="0"/>
            <w:vAlign w:val="center"/>
          </w:tcPr>
          <w:p w14:paraId="66573898">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440" w:lineRule="exact"/>
              <w:ind w:left="357" w:hanging="357"/>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15</w:t>
            </w:r>
          </w:p>
        </w:tc>
        <w:tc>
          <w:tcPr>
            <w:tcW w:w="1076" w:type="dxa"/>
            <w:noWrap w:val="0"/>
            <w:vAlign w:val="center"/>
          </w:tcPr>
          <w:p w14:paraId="5FBBB72A">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电梯</w:t>
            </w:r>
          </w:p>
        </w:tc>
        <w:tc>
          <w:tcPr>
            <w:tcW w:w="7884" w:type="dxa"/>
            <w:noWrap w:val="0"/>
            <w:vAlign w:val="top"/>
          </w:tcPr>
          <w:p w14:paraId="28BDC09C">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1、保证电梯24小时运行，轿厢内按钮、灯具等配件保持完好，轿厢整洁。</w:t>
            </w:r>
          </w:p>
          <w:p w14:paraId="5927EBC6">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2、委托专业维修保养单位进行定期保养，每年进行安全检测并持有有效的《安全使用许可证》，物业公司应有专人对电梯保养进行监督，并对电梯运行进行管理。</w:t>
            </w:r>
          </w:p>
          <w:p w14:paraId="1434FCAA">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3、电梯发生一般故障的，专业维修人员2小时内到达现场修理，发生电梯困人或其它重大事件时，物业管理人员须在规定的时间内到现场应急处理，专业技术人员须及时到现场进行救助。</w:t>
            </w:r>
          </w:p>
          <w:p w14:paraId="018E5B5E">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4、电梯门无安全关闭装置、无自动称重感应装置或无紧急呼叫装置须设专人驾驶的，或由业主大会要求专人驾驶的，驾驶员应坚守岗位不脱岗，保障安全运行。</w:t>
            </w:r>
          </w:p>
          <w:p w14:paraId="6461CBFD">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备注：电梯运行费用包括：电梯运行的电耗、电梯定期常规保养、零星配件及维修（每台电梯年支岀内）、电梯年安全检测。投标单位在投标时考虑此项费用。</w:t>
            </w:r>
          </w:p>
        </w:tc>
      </w:tr>
      <w:tr w14:paraId="3D271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08" w:type="dxa"/>
            <w:noWrap w:val="0"/>
            <w:vAlign w:val="center"/>
          </w:tcPr>
          <w:p w14:paraId="2D507FF9">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440" w:lineRule="exact"/>
              <w:ind w:left="357" w:hanging="357"/>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16</w:t>
            </w:r>
          </w:p>
        </w:tc>
        <w:tc>
          <w:tcPr>
            <w:tcW w:w="1076" w:type="dxa"/>
            <w:noWrap w:val="0"/>
            <w:vAlign w:val="center"/>
          </w:tcPr>
          <w:p w14:paraId="63F322BE">
            <w:pPr>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水景（动力）</w:t>
            </w:r>
          </w:p>
        </w:tc>
        <w:tc>
          <w:tcPr>
            <w:tcW w:w="7884" w:type="dxa"/>
            <w:noWrap w:val="0"/>
            <w:vAlign w:val="top"/>
          </w:tcPr>
          <w:p w14:paraId="5D6361E6">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1、每周一次巡视检查喷水池、水泵及其它附属设施，损坏部位及时修复，保证其正常运行。</w:t>
            </w:r>
          </w:p>
          <w:p w14:paraId="5C54308F">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2、重大节日前应景观设施进行安全、功能检查，保证节日期间各项设施运行正常。</w:t>
            </w:r>
          </w:p>
          <w:p w14:paraId="557A2323">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0" w:firstLine="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备注：费用按实分摊，水景费用分摊公式：［电价X水泵总功率（KW）以运行时间（小时）+水价X耗水量+设备保养费］/可分摊建筑面积。</w:t>
            </w:r>
          </w:p>
        </w:tc>
      </w:tr>
      <w:tr w14:paraId="1F83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9668" w:type="dxa"/>
            <w:gridSpan w:val="3"/>
            <w:noWrap w:val="0"/>
            <w:vAlign w:val="center"/>
          </w:tcPr>
          <w:p w14:paraId="3B911168">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357" w:hanging="357"/>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备注：</w:t>
            </w:r>
          </w:p>
          <w:p w14:paraId="221960D4">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357" w:hanging="357"/>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1、消防、避雷、电梯等专用设备的养护标准如与专业标准有不相一致的地方，以专业标准为准。</w:t>
            </w:r>
          </w:p>
          <w:p w14:paraId="005DCEF2">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357" w:hanging="357"/>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2、住宅区内的设备应建立设备台帐，并有保养、维修记录。</w:t>
            </w:r>
          </w:p>
          <w:p w14:paraId="0CBBF0AB">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357" w:hanging="357"/>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3、按有关规定属建设单位负责保养（修）设施（备）费用由建设单位承担。</w:t>
            </w:r>
          </w:p>
        </w:tc>
      </w:tr>
    </w:tbl>
    <w:p w14:paraId="77FA32F8">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lang w:val="en-US" w:eastAsia="zh-CN" w:bidi="ar-SA"/>
        </w:rPr>
        <w:t>三、</w:t>
      </w:r>
      <w:r>
        <w:rPr>
          <w:rFonts w:hint="eastAsia" w:ascii="宋体" w:hAnsi="宋体" w:eastAsia="宋体" w:cs="宋体"/>
          <w:b/>
          <w:bCs/>
          <w:color w:val="auto"/>
          <w:kern w:val="2"/>
          <w:sz w:val="21"/>
          <w:szCs w:val="21"/>
          <w:highlight w:val="none"/>
          <w:lang w:val="en-US" w:eastAsia="zh-CN" w:bidi="ar-SA"/>
        </w:rPr>
        <w:t>考核细则：</w:t>
      </w:r>
    </w:p>
    <w:p w14:paraId="1B03773B">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420" w:firstLineChars="20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1、服务范围：怀宁县蓝宁府小区前期物业管理服务</w:t>
      </w:r>
    </w:p>
    <w:p w14:paraId="0E14012F">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firstLine="420" w:firstLineChars="200"/>
        <w:jc w:val="both"/>
        <w:textAlignment w:val="auto"/>
        <w:rPr>
          <w:rFonts w:hint="default" w:ascii="宋体" w:hAnsi="宋体" w:eastAsia="宋体" w:cs="宋体"/>
          <w:b/>
          <w:bCs/>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2、服务要求：因该项目现正在建设阶段，具体考核细则待房屋竣工正式交接后，双方根据物业移交内容制定，制定的考核细则经双方确认后签订补充合同。</w:t>
      </w:r>
    </w:p>
    <w:p w14:paraId="5CC07992">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四、服务期</w:t>
      </w:r>
    </w:p>
    <w:p w14:paraId="317D02A6">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firstLine="420" w:firstLineChars="20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本项目物业服务合同期限自合同签订生效之日起至业主委员会成立并与物业服务企业签订物业服务合同止。</w:t>
      </w:r>
    </w:p>
    <w:p w14:paraId="64B95E3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cs="宋体"/>
          <w:b/>
          <w:bCs/>
          <w:color w:val="auto"/>
          <w:szCs w:val="21"/>
          <w:highlight w:val="none"/>
          <w:lang w:val="en-US" w:eastAsia="zh-CN"/>
        </w:rPr>
      </w:pPr>
      <w:r>
        <w:rPr>
          <w:rFonts w:hint="eastAsia" w:ascii="宋体" w:hAnsi="宋体" w:cs="宋体"/>
          <w:b/>
          <w:bCs/>
          <w:color w:val="auto"/>
          <w:kern w:val="2"/>
          <w:sz w:val="21"/>
          <w:szCs w:val="21"/>
          <w:lang w:val="en-US" w:eastAsia="zh-CN" w:bidi="ar-SA"/>
        </w:rPr>
        <w:t>五、</w:t>
      </w:r>
      <w:r>
        <w:rPr>
          <w:rFonts w:hint="eastAsia" w:ascii="宋体" w:hAnsi="宋体" w:cs="宋体"/>
          <w:b/>
          <w:bCs/>
          <w:color w:val="auto"/>
          <w:szCs w:val="21"/>
          <w:highlight w:val="none"/>
          <w:lang w:val="en-US" w:eastAsia="zh-CN"/>
        </w:rPr>
        <w:t>人员配备需求及其他要求</w:t>
      </w:r>
    </w:p>
    <w:p w14:paraId="41A558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（一）人员配备需求</w:t>
      </w:r>
    </w:p>
    <w:p w14:paraId="6746373F">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小区前期物业服务人员最低配备：</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2"/>
        <w:gridCol w:w="2644"/>
        <w:gridCol w:w="2859"/>
        <w:gridCol w:w="2653"/>
      </w:tblGrid>
      <w:tr w14:paraId="417FF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042" w:type="dxa"/>
            <w:noWrap w:val="0"/>
            <w:vAlign w:val="center"/>
          </w:tcPr>
          <w:p w14:paraId="3CD5C5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序号</w:t>
            </w:r>
          </w:p>
        </w:tc>
        <w:tc>
          <w:tcPr>
            <w:tcW w:w="2644" w:type="dxa"/>
            <w:noWrap w:val="0"/>
            <w:vAlign w:val="center"/>
          </w:tcPr>
          <w:p w14:paraId="6832FE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部</w:t>
            </w:r>
            <w:r>
              <w:rPr>
                <w:rFonts w:hint="eastAsia" w:ascii="宋体" w:hAnsi="宋体"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lang w:val="en-US" w:eastAsia="zh-CN"/>
              </w:rPr>
              <w:t>门</w:t>
            </w:r>
          </w:p>
        </w:tc>
        <w:tc>
          <w:tcPr>
            <w:tcW w:w="2859" w:type="dxa"/>
            <w:noWrap w:val="0"/>
            <w:vAlign w:val="center"/>
          </w:tcPr>
          <w:p w14:paraId="03C245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岗  位</w:t>
            </w:r>
          </w:p>
        </w:tc>
        <w:tc>
          <w:tcPr>
            <w:tcW w:w="2653" w:type="dxa"/>
            <w:noWrap w:val="0"/>
            <w:vAlign w:val="center"/>
          </w:tcPr>
          <w:p w14:paraId="24EB39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人  数</w:t>
            </w:r>
          </w:p>
        </w:tc>
      </w:tr>
      <w:tr w14:paraId="195F5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2" w:type="dxa"/>
            <w:noWrap w:val="0"/>
            <w:vAlign w:val="center"/>
          </w:tcPr>
          <w:p w14:paraId="60E38E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w:t>
            </w:r>
          </w:p>
        </w:tc>
        <w:tc>
          <w:tcPr>
            <w:tcW w:w="2644" w:type="dxa"/>
            <w:noWrap w:val="0"/>
            <w:vAlign w:val="center"/>
          </w:tcPr>
          <w:p w14:paraId="1F141F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管理处</w:t>
            </w:r>
          </w:p>
        </w:tc>
        <w:tc>
          <w:tcPr>
            <w:tcW w:w="2859" w:type="dxa"/>
            <w:noWrap w:val="0"/>
            <w:vAlign w:val="center"/>
          </w:tcPr>
          <w:p w14:paraId="31D33D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经理</w:t>
            </w:r>
          </w:p>
        </w:tc>
        <w:tc>
          <w:tcPr>
            <w:tcW w:w="2653" w:type="dxa"/>
            <w:noWrap w:val="0"/>
            <w:vAlign w:val="center"/>
          </w:tcPr>
          <w:p w14:paraId="224C30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w:t>
            </w:r>
          </w:p>
        </w:tc>
      </w:tr>
      <w:tr w14:paraId="35CDB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2" w:type="dxa"/>
            <w:noWrap w:val="0"/>
            <w:vAlign w:val="center"/>
          </w:tcPr>
          <w:p w14:paraId="2551FE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w:t>
            </w:r>
          </w:p>
        </w:tc>
        <w:tc>
          <w:tcPr>
            <w:tcW w:w="2644" w:type="dxa"/>
            <w:noWrap w:val="0"/>
            <w:vAlign w:val="center"/>
          </w:tcPr>
          <w:p w14:paraId="585768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客服中心</w:t>
            </w:r>
          </w:p>
        </w:tc>
        <w:tc>
          <w:tcPr>
            <w:tcW w:w="2859" w:type="dxa"/>
            <w:noWrap w:val="0"/>
            <w:vAlign w:val="center"/>
          </w:tcPr>
          <w:p w14:paraId="6BFCD7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客服管家</w:t>
            </w:r>
          </w:p>
        </w:tc>
        <w:tc>
          <w:tcPr>
            <w:tcW w:w="2653" w:type="dxa"/>
            <w:noWrap w:val="0"/>
            <w:vAlign w:val="center"/>
          </w:tcPr>
          <w:p w14:paraId="27F3D3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w:t>
            </w:r>
          </w:p>
        </w:tc>
      </w:tr>
      <w:tr w14:paraId="49A1B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2" w:type="dxa"/>
            <w:vMerge w:val="restart"/>
            <w:noWrap w:val="0"/>
            <w:vAlign w:val="center"/>
          </w:tcPr>
          <w:p w14:paraId="231591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w:t>
            </w:r>
          </w:p>
        </w:tc>
        <w:tc>
          <w:tcPr>
            <w:tcW w:w="2644" w:type="dxa"/>
            <w:vMerge w:val="restart"/>
            <w:noWrap w:val="0"/>
            <w:vAlign w:val="center"/>
          </w:tcPr>
          <w:p w14:paraId="614829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秩序维护部</w:t>
            </w:r>
          </w:p>
        </w:tc>
        <w:tc>
          <w:tcPr>
            <w:tcW w:w="2859" w:type="dxa"/>
            <w:noWrap w:val="0"/>
            <w:vAlign w:val="center"/>
          </w:tcPr>
          <w:p w14:paraId="3690E1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主管</w:t>
            </w:r>
          </w:p>
        </w:tc>
        <w:tc>
          <w:tcPr>
            <w:tcW w:w="2653" w:type="dxa"/>
            <w:noWrap w:val="0"/>
            <w:vAlign w:val="center"/>
          </w:tcPr>
          <w:p w14:paraId="7AB953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w:t>
            </w:r>
          </w:p>
        </w:tc>
      </w:tr>
      <w:tr w14:paraId="0AAC2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2" w:type="dxa"/>
            <w:vMerge w:val="continue"/>
            <w:noWrap w:val="0"/>
            <w:vAlign w:val="center"/>
          </w:tcPr>
          <w:p w14:paraId="13A094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p>
        </w:tc>
        <w:tc>
          <w:tcPr>
            <w:tcW w:w="2644" w:type="dxa"/>
            <w:vMerge w:val="continue"/>
            <w:noWrap w:val="0"/>
            <w:vAlign w:val="center"/>
          </w:tcPr>
          <w:p w14:paraId="72C013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p>
        </w:tc>
        <w:tc>
          <w:tcPr>
            <w:tcW w:w="2859" w:type="dxa"/>
            <w:noWrap w:val="0"/>
            <w:vAlign w:val="center"/>
          </w:tcPr>
          <w:p w14:paraId="73370F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消防专员</w:t>
            </w:r>
          </w:p>
        </w:tc>
        <w:tc>
          <w:tcPr>
            <w:tcW w:w="2653" w:type="dxa"/>
            <w:noWrap w:val="0"/>
            <w:vAlign w:val="center"/>
          </w:tcPr>
          <w:p w14:paraId="1E4DDD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w:t>
            </w:r>
          </w:p>
        </w:tc>
      </w:tr>
      <w:tr w14:paraId="31BAB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2" w:type="dxa"/>
            <w:vMerge w:val="continue"/>
            <w:noWrap w:val="0"/>
            <w:vAlign w:val="center"/>
          </w:tcPr>
          <w:p w14:paraId="5A7776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p>
        </w:tc>
        <w:tc>
          <w:tcPr>
            <w:tcW w:w="2644" w:type="dxa"/>
            <w:vMerge w:val="continue"/>
            <w:noWrap w:val="0"/>
            <w:vAlign w:val="center"/>
          </w:tcPr>
          <w:p w14:paraId="316EFC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p>
        </w:tc>
        <w:tc>
          <w:tcPr>
            <w:tcW w:w="2859" w:type="dxa"/>
            <w:noWrap w:val="0"/>
            <w:vAlign w:val="center"/>
          </w:tcPr>
          <w:p w14:paraId="59DC84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监控中心</w:t>
            </w:r>
          </w:p>
        </w:tc>
        <w:tc>
          <w:tcPr>
            <w:tcW w:w="2653" w:type="dxa"/>
            <w:noWrap w:val="0"/>
            <w:vAlign w:val="center"/>
          </w:tcPr>
          <w:p w14:paraId="4A0AD6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w:t>
            </w:r>
          </w:p>
        </w:tc>
      </w:tr>
      <w:tr w14:paraId="54B0B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2" w:type="dxa"/>
            <w:vMerge w:val="continue"/>
            <w:noWrap w:val="0"/>
            <w:vAlign w:val="center"/>
          </w:tcPr>
          <w:p w14:paraId="7AC322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p>
        </w:tc>
        <w:tc>
          <w:tcPr>
            <w:tcW w:w="2644" w:type="dxa"/>
            <w:vMerge w:val="continue"/>
            <w:noWrap w:val="0"/>
            <w:vAlign w:val="center"/>
          </w:tcPr>
          <w:p w14:paraId="75AC56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p>
        </w:tc>
        <w:tc>
          <w:tcPr>
            <w:tcW w:w="2859" w:type="dxa"/>
            <w:noWrap w:val="0"/>
            <w:vAlign w:val="center"/>
          </w:tcPr>
          <w:p w14:paraId="05DBD9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门禁管控</w:t>
            </w:r>
          </w:p>
        </w:tc>
        <w:tc>
          <w:tcPr>
            <w:tcW w:w="2653" w:type="dxa"/>
            <w:noWrap w:val="0"/>
            <w:vAlign w:val="center"/>
          </w:tcPr>
          <w:p w14:paraId="77E8B0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w:t>
            </w:r>
          </w:p>
        </w:tc>
      </w:tr>
      <w:tr w14:paraId="2DCD3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2" w:type="dxa"/>
            <w:vMerge w:val="continue"/>
            <w:noWrap w:val="0"/>
            <w:vAlign w:val="center"/>
          </w:tcPr>
          <w:p w14:paraId="033CF4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p>
        </w:tc>
        <w:tc>
          <w:tcPr>
            <w:tcW w:w="2644" w:type="dxa"/>
            <w:vMerge w:val="continue"/>
            <w:noWrap w:val="0"/>
            <w:vAlign w:val="center"/>
          </w:tcPr>
          <w:p w14:paraId="394D1F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p>
        </w:tc>
        <w:tc>
          <w:tcPr>
            <w:tcW w:w="2859" w:type="dxa"/>
            <w:noWrap w:val="0"/>
            <w:vAlign w:val="center"/>
          </w:tcPr>
          <w:p w14:paraId="1ADEBE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园区巡逻</w:t>
            </w:r>
          </w:p>
        </w:tc>
        <w:tc>
          <w:tcPr>
            <w:tcW w:w="2653" w:type="dxa"/>
            <w:noWrap w:val="0"/>
            <w:vAlign w:val="center"/>
          </w:tcPr>
          <w:p w14:paraId="2244E4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w:t>
            </w:r>
          </w:p>
        </w:tc>
      </w:tr>
      <w:tr w14:paraId="55FF5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2" w:type="dxa"/>
            <w:noWrap w:val="0"/>
            <w:vAlign w:val="center"/>
          </w:tcPr>
          <w:p w14:paraId="0E64A5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w:t>
            </w:r>
          </w:p>
        </w:tc>
        <w:tc>
          <w:tcPr>
            <w:tcW w:w="2644" w:type="dxa"/>
            <w:noWrap w:val="0"/>
            <w:vAlign w:val="center"/>
          </w:tcPr>
          <w:p w14:paraId="2AFB05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工程部</w:t>
            </w:r>
          </w:p>
        </w:tc>
        <w:tc>
          <w:tcPr>
            <w:tcW w:w="2859" w:type="dxa"/>
            <w:noWrap w:val="0"/>
            <w:vAlign w:val="center"/>
          </w:tcPr>
          <w:p w14:paraId="1E9D6E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综合维修</w:t>
            </w:r>
          </w:p>
        </w:tc>
        <w:tc>
          <w:tcPr>
            <w:tcW w:w="2653" w:type="dxa"/>
            <w:noWrap w:val="0"/>
            <w:vAlign w:val="center"/>
          </w:tcPr>
          <w:p w14:paraId="163FC1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w:t>
            </w:r>
          </w:p>
        </w:tc>
      </w:tr>
      <w:tr w14:paraId="7ABCC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2" w:type="dxa"/>
            <w:vMerge w:val="restart"/>
            <w:noWrap w:val="0"/>
            <w:vAlign w:val="center"/>
          </w:tcPr>
          <w:p w14:paraId="486525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w:t>
            </w:r>
          </w:p>
        </w:tc>
        <w:tc>
          <w:tcPr>
            <w:tcW w:w="2644" w:type="dxa"/>
            <w:vMerge w:val="restart"/>
            <w:noWrap w:val="0"/>
            <w:vAlign w:val="center"/>
          </w:tcPr>
          <w:p w14:paraId="648F01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环境部</w:t>
            </w:r>
          </w:p>
        </w:tc>
        <w:tc>
          <w:tcPr>
            <w:tcW w:w="2859" w:type="dxa"/>
            <w:noWrap w:val="0"/>
            <w:vAlign w:val="center"/>
          </w:tcPr>
          <w:p w14:paraId="6C182F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环境主管</w:t>
            </w:r>
          </w:p>
        </w:tc>
        <w:tc>
          <w:tcPr>
            <w:tcW w:w="2653" w:type="dxa"/>
            <w:noWrap w:val="0"/>
            <w:vAlign w:val="center"/>
          </w:tcPr>
          <w:p w14:paraId="0DCED6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w:t>
            </w:r>
          </w:p>
        </w:tc>
      </w:tr>
      <w:tr w14:paraId="3EC7A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2" w:type="dxa"/>
            <w:vMerge w:val="continue"/>
            <w:noWrap w:val="0"/>
            <w:vAlign w:val="center"/>
          </w:tcPr>
          <w:p w14:paraId="57FB0E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p>
        </w:tc>
        <w:tc>
          <w:tcPr>
            <w:tcW w:w="2644" w:type="dxa"/>
            <w:vMerge w:val="continue"/>
            <w:noWrap w:val="0"/>
            <w:vAlign w:val="center"/>
          </w:tcPr>
          <w:p w14:paraId="1BBA5E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p>
        </w:tc>
        <w:tc>
          <w:tcPr>
            <w:tcW w:w="2859" w:type="dxa"/>
            <w:noWrap w:val="0"/>
            <w:vAlign w:val="center"/>
          </w:tcPr>
          <w:p w14:paraId="2B19AE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园区路面</w:t>
            </w:r>
          </w:p>
        </w:tc>
        <w:tc>
          <w:tcPr>
            <w:tcW w:w="2653" w:type="dxa"/>
            <w:noWrap w:val="0"/>
            <w:vAlign w:val="center"/>
          </w:tcPr>
          <w:p w14:paraId="4DC031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w:t>
            </w:r>
          </w:p>
        </w:tc>
      </w:tr>
      <w:tr w14:paraId="0713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2" w:type="dxa"/>
            <w:vMerge w:val="continue"/>
            <w:noWrap w:val="0"/>
            <w:vAlign w:val="center"/>
          </w:tcPr>
          <w:p w14:paraId="4AD0C1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p>
        </w:tc>
        <w:tc>
          <w:tcPr>
            <w:tcW w:w="2644" w:type="dxa"/>
            <w:vMerge w:val="continue"/>
            <w:noWrap w:val="0"/>
            <w:vAlign w:val="center"/>
          </w:tcPr>
          <w:p w14:paraId="45640A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p>
        </w:tc>
        <w:tc>
          <w:tcPr>
            <w:tcW w:w="2859" w:type="dxa"/>
            <w:noWrap w:val="0"/>
            <w:vAlign w:val="center"/>
          </w:tcPr>
          <w:p w14:paraId="4D4DBB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地库卫生</w:t>
            </w:r>
          </w:p>
        </w:tc>
        <w:tc>
          <w:tcPr>
            <w:tcW w:w="2653" w:type="dxa"/>
            <w:noWrap w:val="0"/>
            <w:vAlign w:val="center"/>
          </w:tcPr>
          <w:p w14:paraId="7107C2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w:t>
            </w:r>
          </w:p>
        </w:tc>
      </w:tr>
      <w:tr w14:paraId="020F8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2" w:type="dxa"/>
            <w:vMerge w:val="continue"/>
            <w:noWrap w:val="0"/>
            <w:vAlign w:val="center"/>
          </w:tcPr>
          <w:p w14:paraId="7BEF45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p>
        </w:tc>
        <w:tc>
          <w:tcPr>
            <w:tcW w:w="2644" w:type="dxa"/>
            <w:vMerge w:val="continue"/>
            <w:noWrap w:val="0"/>
            <w:vAlign w:val="center"/>
          </w:tcPr>
          <w:p w14:paraId="1C1CC9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p>
        </w:tc>
        <w:tc>
          <w:tcPr>
            <w:tcW w:w="2859" w:type="dxa"/>
            <w:noWrap w:val="0"/>
            <w:vAlign w:val="center"/>
          </w:tcPr>
          <w:p w14:paraId="2B1868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楼宇卫生</w:t>
            </w:r>
          </w:p>
        </w:tc>
        <w:tc>
          <w:tcPr>
            <w:tcW w:w="2653" w:type="dxa"/>
            <w:noWrap w:val="0"/>
            <w:vAlign w:val="center"/>
          </w:tcPr>
          <w:p w14:paraId="168BEF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w:t>
            </w:r>
          </w:p>
        </w:tc>
      </w:tr>
      <w:tr w14:paraId="787D2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2" w:type="dxa"/>
            <w:vMerge w:val="continue"/>
            <w:noWrap w:val="0"/>
            <w:vAlign w:val="center"/>
          </w:tcPr>
          <w:p w14:paraId="492A67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p>
        </w:tc>
        <w:tc>
          <w:tcPr>
            <w:tcW w:w="2644" w:type="dxa"/>
            <w:vMerge w:val="continue"/>
            <w:noWrap w:val="0"/>
            <w:vAlign w:val="center"/>
          </w:tcPr>
          <w:p w14:paraId="6A12E6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p>
        </w:tc>
        <w:tc>
          <w:tcPr>
            <w:tcW w:w="2859" w:type="dxa"/>
            <w:noWrap w:val="0"/>
            <w:vAlign w:val="center"/>
          </w:tcPr>
          <w:p w14:paraId="466F07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绿化养护</w:t>
            </w:r>
          </w:p>
        </w:tc>
        <w:tc>
          <w:tcPr>
            <w:tcW w:w="2653" w:type="dxa"/>
            <w:noWrap w:val="0"/>
            <w:vAlign w:val="center"/>
          </w:tcPr>
          <w:p w14:paraId="0020D9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w:t>
            </w:r>
          </w:p>
        </w:tc>
      </w:tr>
      <w:tr w14:paraId="6EDF6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86" w:type="dxa"/>
            <w:gridSpan w:val="2"/>
            <w:noWrap w:val="0"/>
            <w:vAlign w:val="center"/>
          </w:tcPr>
          <w:p w14:paraId="5B80FB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合     计</w:t>
            </w:r>
          </w:p>
        </w:tc>
        <w:tc>
          <w:tcPr>
            <w:tcW w:w="2859" w:type="dxa"/>
            <w:noWrap w:val="0"/>
            <w:vAlign w:val="center"/>
          </w:tcPr>
          <w:p w14:paraId="6E8199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p>
        </w:tc>
        <w:tc>
          <w:tcPr>
            <w:tcW w:w="2653" w:type="dxa"/>
            <w:noWrap w:val="0"/>
            <w:vAlign w:val="center"/>
          </w:tcPr>
          <w:p w14:paraId="300CA5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20</w:t>
            </w:r>
          </w:p>
        </w:tc>
      </w:tr>
    </w:tbl>
    <w:p w14:paraId="24C41A46">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注：招标人在合同签订后招标人进场服务前核查人员最低配备情况，人员须按照要求配备到位，否则招标人有权解除合同并报监管部门按规定处理。</w:t>
      </w:r>
    </w:p>
    <w:p w14:paraId="4016F9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cs="宋体"/>
          <w:b w:val="0"/>
          <w:bCs w:val="0"/>
          <w:color w:val="auto"/>
          <w:szCs w:val="21"/>
          <w:highlight w:val="none"/>
          <w:lang w:val="en-US" w:eastAsia="zh-CN"/>
        </w:rPr>
      </w:pPr>
      <w:r>
        <w:rPr>
          <w:rFonts w:hint="eastAsia" w:ascii="宋体" w:hAnsi="宋体" w:cs="宋体"/>
          <w:b w:val="0"/>
          <w:bCs w:val="0"/>
          <w:color w:val="auto"/>
          <w:kern w:val="2"/>
          <w:sz w:val="21"/>
          <w:szCs w:val="21"/>
          <w:lang w:val="en-US" w:eastAsia="zh-CN" w:bidi="ar-SA"/>
        </w:rPr>
        <w:t>（二）</w:t>
      </w:r>
      <w:r>
        <w:rPr>
          <w:rFonts w:hint="eastAsia" w:ascii="宋体" w:hAnsi="宋体" w:cs="宋体"/>
          <w:b w:val="0"/>
          <w:bCs w:val="0"/>
          <w:color w:val="auto"/>
          <w:szCs w:val="21"/>
          <w:highlight w:val="none"/>
          <w:lang w:val="en-US" w:eastAsia="zh-CN"/>
        </w:rPr>
        <w:t>其他要求：</w:t>
      </w:r>
    </w:p>
    <w:p w14:paraId="26B9FD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1、住宅小区的电梯、水泵(属怀宁供水集团公司负责建设和运行维护的二次供水设施的小区除外)公共设备设施运行电费除物业服务合同另有约定外，应纳入委托代收代交费用，由物业管理企业单独列帐，按实际支出费用和约定方式公开合理分摊，物业服务企业办公所用水电费用不得向业主分摊；本项目能耗费用由中标人按照0.3元/平方米·月向业主收取，按实分摊结算。</w:t>
      </w:r>
    </w:p>
    <w:p w14:paraId="70970A83">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2、室内车位租赁费按170元/辆·月收取，室内停车位停放服务费按40元/辆·月收取，收取前须经招标人批准备案。同时投标供应商应考虑机动车和非机动车的管理费用收益等其他费用的收取风险；</w:t>
      </w:r>
    </w:p>
    <w:p w14:paraId="58CF2DA1">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3、垃圾清运费由中标人承担（装璜垃圾除外）；</w:t>
      </w:r>
    </w:p>
    <w:p w14:paraId="1BB14535">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4、物业服务等级标准：参照《安徽省住宅区物业服务标准》（A级）标准执行；</w:t>
      </w:r>
    </w:p>
    <w:p w14:paraId="03A51DFA">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5、本项目投标报价为完成本项目服务期限内的除以上内容的全部物业服务费用，其组成包括但不限于人员工资、管理费、施工费、服装费、办公费、交通费、通讯费、培训费、税金、利润、社会保险费、福利、节假日费用、教育金、车辆、绿化保洁工具、耗材、器具、合同工期内的风险费用、合理利润及税金等为完成本项目所发生的一切费用。中标人自行解决员工养老、失业、医疗、工伤、生育、纳税等保险及劳保、工资、福利、食宿、员工上下班交通及投标供应商为完成服务所发生的一切费用等有关问题。投标报价在合同执行期间是固定不变和不可变更的，不因市场变化因素而变动，投标人在计算报价时需考虑不可预见的风险因素（包括收费率），编制竞争性报价。无论何种原因，招标人只以合同中的定价为准。各投标人在投标报价中应考虑到国家工资政策调整因素，后期遇国家政策变动将不予调整。投标人应考虑合同期内政策性费用调整的风险。投标报价应考虑最低工资标准上调等风险，履约期限内不得以最低工资标准上调以及物价指数上涨等理由增加物业管理费用。结算面积为所有住户产权面积之和。</w:t>
      </w:r>
    </w:p>
    <w:p w14:paraId="13297AFB">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6、招标人将在合同签订后向中标人提供前期物业服务的开办费20万元用于购买物业办公设备、员工服装、维保设备和通讯工具等固定资产。</w:t>
      </w:r>
    </w:p>
    <w:p w14:paraId="63EBD2C1">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s="宋体"/>
          <w:b w:val="0"/>
          <w:bCs w:val="0"/>
          <w:color w:val="auto"/>
          <w:szCs w:val="21"/>
          <w:highlight w:val="none"/>
          <w:lang w:val="en-US" w:eastAsia="zh-CN"/>
        </w:rPr>
      </w:pPr>
      <w:r>
        <w:rPr>
          <w:rFonts w:hint="eastAsia" w:ascii="宋体" w:hAnsi="宋体" w:cs="宋体"/>
          <w:b w:val="0"/>
          <w:bCs w:val="0"/>
          <w:color w:val="auto"/>
          <w:szCs w:val="21"/>
          <w:highlight w:val="none"/>
          <w:lang w:val="en-US" w:eastAsia="zh-CN"/>
        </w:rPr>
        <w:t>7、若中标人为怀宁县境外企业，必须在中标通知书领取后五个工作日内在怀宁县物业管理行政主管部门完成备案，否则招标人有权取消其中标资格。</w:t>
      </w:r>
    </w:p>
    <w:p w14:paraId="5FDBC146">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s="宋体"/>
          <w:b/>
          <w:bCs/>
          <w:color w:val="auto"/>
          <w:szCs w:val="21"/>
          <w:highlight w:val="none"/>
          <w:lang w:val="en-US" w:eastAsia="zh-CN"/>
        </w:rPr>
      </w:pPr>
      <w:r>
        <w:rPr>
          <w:rFonts w:hint="eastAsia" w:ascii="宋体" w:hAnsi="宋体" w:cs="宋体"/>
          <w:b w:val="0"/>
          <w:bCs w:val="0"/>
          <w:color w:val="auto"/>
          <w:szCs w:val="21"/>
          <w:highlight w:val="none"/>
          <w:lang w:val="en-US" w:eastAsia="zh-CN"/>
        </w:rPr>
        <w:t>8、中标人应当自物业服务合同签订之日起三十日内，将物业服务合同报送县级人民政府物业管理行政主管部门、街道办事处或者乡镇人民政府备案。</w:t>
      </w:r>
      <w:r>
        <w:rPr>
          <w:rFonts w:hint="eastAsia" w:ascii="宋体" w:hAnsi="宋体" w:cs="宋体"/>
          <w:b/>
          <w:bCs/>
          <w:color w:val="auto"/>
          <w:szCs w:val="21"/>
          <w:highlight w:val="none"/>
          <w:lang w:val="en-US" w:eastAsia="zh-CN"/>
        </w:rPr>
        <w:t>‌</w:t>
      </w:r>
    </w:p>
    <w:p w14:paraId="6D30EAC7">
      <w:pPr>
        <w:keepNext w:val="0"/>
        <w:keepLines w:val="0"/>
        <w:pageBreakBefore w:val="0"/>
        <w:widowControl w:val="0"/>
        <w:kinsoku/>
        <w:wordWrap/>
        <w:overflowPunct/>
        <w:topLinePunct w:val="0"/>
        <w:autoSpaceDE/>
        <w:autoSpaceDN/>
        <w:bidi w:val="0"/>
        <w:adjustRightInd/>
        <w:snapToGrid/>
        <w:spacing w:line="56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9</w:t>
      </w:r>
      <w:r>
        <w:rPr>
          <w:rFonts w:hint="eastAsia" w:ascii="宋体" w:hAnsi="宋体" w:eastAsia="宋体" w:cs="宋体"/>
          <w:b/>
          <w:bCs/>
          <w:color w:val="auto"/>
          <w:szCs w:val="21"/>
          <w:highlight w:val="none"/>
        </w:rPr>
        <w:t>、</w:t>
      </w:r>
      <w:r>
        <w:rPr>
          <w:rFonts w:hint="eastAsia" w:ascii="宋体" w:hAnsi="宋体" w:cs="宋体"/>
          <w:b/>
          <w:bCs/>
          <w:color w:val="auto"/>
          <w:szCs w:val="21"/>
          <w:highlight w:val="none"/>
          <w:lang w:eastAsia="zh-CN"/>
        </w:rPr>
        <w:t>报价要求</w:t>
      </w:r>
    </w:p>
    <w:p w14:paraId="479C488A">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9.1、本项目为固定报价。</w:t>
      </w:r>
    </w:p>
    <w:p w14:paraId="383642C6">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9.2、投标人须对目前市场因素、现场环境因素、社会因素等不确定因素对保证实现预定服务期目标造成的风险费用做出估计，并包含在报价中，中标后不得以估计不足为由而提出任何增加服务价款或索赔要求。</w:t>
      </w:r>
    </w:p>
    <w:p w14:paraId="4F4BCEF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2" w:firstLineChars="200"/>
        <w:textAlignment w:val="auto"/>
        <w:rPr>
          <w:rFonts w:hint="eastAsia" w:ascii="宋体" w:hAnsi="宋体" w:cs="宋体"/>
          <w:b/>
          <w:bCs/>
          <w:color w:val="auto"/>
          <w:szCs w:val="21"/>
          <w:highlight w:val="none"/>
          <w:lang w:val="en-US" w:eastAsia="zh-CN"/>
        </w:rPr>
      </w:pPr>
      <w:r>
        <w:rPr>
          <w:rFonts w:hint="eastAsia" w:ascii="宋体" w:hAnsi="宋体" w:cs="宋体"/>
          <w:b/>
          <w:bCs/>
          <w:color w:val="auto"/>
          <w:kern w:val="2"/>
          <w:sz w:val="21"/>
          <w:szCs w:val="21"/>
          <w:highlight w:val="none"/>
          <w:lang w:val="en-US" w:eastAsia="zh-CN" w:bidi="ar-SA"/>
        </w:rPr>
        <w:t>10</w:t>
      </w:r>
      <w:r>
        <w:rPr>
          <w:rFonts w:hint="eastAsia" w:ascii="宋体" w:hAnsi="宋体" w:eastAsia="宋体" w:cs="宋体"/>
          <w:b/>
          <w:bCs/>
          <w:color w:val="auto"/>
          <w:kern w:val="2"/>
          <w:sz w:val="21"/>
          <w:szCs w:val="21"/>
          <w:highlight w:val="none"/>
          <w:lang w:val="en-US" w:eastAsia="zh-CN" w:bidi="ar-SA"/>
        </w:rPr>
        <w:t>、</w:t>
      </w:r>
      <w:r>
        <w:rPr>
          <w:rFonts w:hint="eastAsia" w:ascii="宋体" w:hAnsi="宋体" w:cs="宋体"/>
          <w:b/>
          <w:bCs/>
          <w:color w:val="auto"/>
          <w:szCs w:val="21"/>
          <w:highlight w:val="none"/>
          <w:lang w:val="en-US" w:eastAsia="zh-CN"/>
        </w:rPr>
        <w:t>付款方式</w:t>
      </w:r>
    </w:p>
    <w:p w14:paraId="219D9F93">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小区物业费由中标人向购房业主依据服务合同约定方式收取（主体以合同约定为准）。</w:t>
      </w:r>
    </w:p>
    <w:bookmarkEnd w:id="1"/>
    <w:p w14:paraId="3F43E27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Calibri" w:eastAsia="宋体"/>
          <w:color w:val="auto"/>
          <w:highlight w:val="none"/>
          <w:lang w:val="en-US" w:eastAsia="zh-CN"/>
        </w:rPr>
      </w:pPr>
    </w:p>
    <w:p w14:paraId="785F35D0">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Calibri" w:eastAsia="宋体"/>
          <w:color w:val="auto"/>
          <w:highlight w:val="none"/>
          <w:lang w:val="en-US" w:eastAsia="zh-CN"/>
        </w:rPr>
      </w:pPr>
    </w:p>
    <w:p w14:paraId="5ECFCFDB">
      <w:pPr>
        <w:keepNext w:val="0"/>
        <w:keepLines w:val="0"/>
        <w:pageBreakBefore w:val="0"/>
        <w:widowControl w:val="0"/>
        <w:kinsoku/>
        <w:wordWrap/>
        <w:overflowPunct/>
        <w:topLinePunct w:val="0"/>
        <w:autoSpaceDE/>
        <w:autoSpaceDN/>
        <w:bidi w:val="0"/>
        <w:adjustRightInd/>
        <w:snapToGrid/>
        <w:spacing w:line="560" w:lineRule="exact"/>
        <w:ind w:firstLine="6720" w:firstLineChars="3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安徽永宁投资控股集团有限公司                                        </w:t>
      </w:r>
    </w:p>
    <w:p w14:paraId="4522250F">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Calibri" w:eastAsia="宋体"/>
          <w:color w:val="auto"/>
          <w:highlight w:val="none"/>
          <w:lang w:val="en-US" w:eastAsia="zh-CN"/>
        </w:rPr>
      </w:pPr>
      <w:r>
        <w:rPr>
          <w:rFonts w:hint="eastAsia" w:ascii="宋体" w:hAnsi="宋体" w:eastAsia="宋体" w:cs="宋体"/>
          <w:color w:val="auto"/>
          <w:highlight w:val="none"/>
          <w:lang w:val="en-US" w:eastAsia="zh-CN"/>
        </w:rPr>
        <w:t xml:space="preserve">                                                                2026年01月 0</w:t>
      </w:r>
      <w:r>
        <w:rPr>
          <w:rFonts w:hint="eastAsia" w:ascii="宋体" w:hAnsi="宋体" w:cs="宋体"/>
          <w:color w:val="auto"/>
          <w:highlight w:val="none"/>
          <w:lang w:val="en-US" w:eastAsia="zh-CN"/>
        </w:rPr>
        <w:t>9</w:t>
      </w:r>
      <w:r>
        <w:rPr>
          <w:rFonts w:hint="eastAsia" w:ascii="宋体" w:hAnsi="宋体" w:eastAsia="宋体" w:cs="宋体"/>
          <w:color w:val="auto"/>
          <w:highlight w:val="none"/>
          <w:lang w:val="en-US" w:eastAsia="zh-CN"/>
        </w:rPr>
        <w:t>日</w:t>
      </w:r>
      <w:bookmarkStart w:id="2" w:name="_GoBack"/>
      <w:bookmarkEnd w:id="2"/>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9AF576"/>
    <w:multiLevelType w:val="singleLevel"/>
    <w:tmpl w:val="FA9AF576"/>
    <w:lvl w:ilvl="0" w:tentative="0">
      <w:start w:val="1"/>
      <w:numFmt w:val="decimal"/>
      <w:suff w:val="space"/>
      <w:lvlText w:val="(%1)"/>
      <w:lvlJc w:val="left"/>
      <w:pPr>
        <w:ind w:left="425" w:hanging="425"/>
      </w:pPr>
      <w:rPr>
        <w:rFonts w:hint="default"/>
      </w:rPr>
    </w:lvl>
  </w:abstractNum>
  <w:abstractNum w:abstractNumId="1">
    <w:nsid w:val="6D9F08F1"/>
    <w:multiLevelType w:val="singleLevel"/>
    <w:tmpl w:val="6D9F08F1"/>
    <w:lvl w:ilvl="0" w:tentative="0">
      <w:start w:val="1"/>
      <w:numFmt w:val="decimal"/>
      <w:suff w:val="space"/>
      <w:lvlText w:val="(%1)"/>
      <w:lvlJc w:val="left"/>
      <w:pPr>
        <w:ind w:left="425" w:hanging="425"/>
      </w:pPr>
      <w:rPr>
        <w:rFonts w:hint="default"/>
        <w:sz w:val="21"/>
        <w:szCs w:val="21"/>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242C70"/>
    <w:rsid w:val="03AC7D7B"/>
    <w:rsid w:val="0F242C70"/>
    <w:rsid w:val="3A2160C5"/>
    <w:rsid w:val="3A797CAF"/>
    <w:rsid w:val="3F910A4D"/>
    <w:rsid w:val="45343151"/>
    <w:rsid w:val="48E1539E"/>
    <w:rsid w:val="501A73E7"/>
    <w:rsid w:val="50976865"/>
    <w:rsid w:val="6CBE13CE"/>
    <w:rsid w:val="7AE27D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100" w:after="100"/>
      <w:jc w:val="center"/>
      <w:outlineLvl w:val="0"/>
    </w:pPr>
    <w:rPr>
      <w:b/>
      <w:bCs/>
      <w:kern w:val="44"/>
      <w:sz w:val="32"/>
      <w:szCs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正文 New"/>
    <w:basedOn w:val="1"/>
    <w:qFormat/>
    <w:uiPriority w:val="0"/>
    <w:pPr>
      <w:spacing w:before="100" w:beforeAutospacing="1" w:after="100" w:afterAutospacing="1" w:line="440" w:lineRule="exact"/>
      <w:ind w:left="357" w:hanging="357"/>
    </w:pPr>
    <w:rPr>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7942</Words>
  <Characters>8044</Characters>
  <Lines>0</Lines>
  <Paragraphs>0</Paragraphs>
  <TotalTime>4</TotalTime>
  <ScaleCrop>false</ScaleCrop>
  <LinksUpToDate>false</LinksUpToDate>
  <CharactersWithSpaces>8165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2026-01-07T07:13:00Z</dcterms:created>
  <dc:creator>え、い</dc:creator>
  <cp:lastModifiedBy>え、い</cp:lastModifiedBy>
  <dcterms:modified xsi:type="dcterms:W3CDTF">2026-01-09T01:58:25Z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8ECB418E9C84407A95B74E53782C82D9_11</vt:lpwstr>
  </property>
  <property fmtid="{D5CDD505-2E9C-101B-9397-08002B2CF9AE}" pid="4" name="KSOTemplateDocerSaveRecord">
    <vt:lpwstr>eyJoZGlkIjoiY2Q0NWU4NTJjNmM4YjI2MGRlZmMyZTQ1YTZhM2E0YTUiLCJ1c2VySWQiOiIyNTk3MTU3NTkifQ==</vt:lpwstr>
  </property>
</Properties>
</file>