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1E0EE">
      <w:pPr>
        <w:pStyle w:val="2"/>
        <w:pageBreakBefore w:val="0"/>
        <w:kinsoku/>
        <w:wordWrap/>
        <w:overflowPunct/>
        <w:topLinePunct w:val="0"/>
        <w:autoSpaceDE/>
        <w:autoSpaceDN/>
        <w:bidi w:val="0"/>
        <w:adjustRightInd/>
        <w:snapToGrid/>
        <w:spacing w:before="0" w:after="0" w:line="480" w:lineRule="auto"/>
        <w:textAlignment w:val="auto"/>
        <w:rPr>
          <w:rFonts w:hint="eastAsia" w:cs="宋体" w:asciiTheme="minorEastAsia" w:hAnsiTheme="minorEastAsia" w:eastAsiaTheme="minorEastAsia"/>
          <w:color w:val="auto"/>
          <w:sz w:val="36"/>
          <w:szCs w:val="36"/>
          <w:highlight w:val="none"/>
          <w:lang w:eastAsia="zh-CN"/>
        </w:rPr>
      </w:pPr>
      <w:bookmarkStart w:id="0" w:name="_Toc29799"/>
      <w:bookmarkStart w:id="1" w:name="_Toc10081"/>
      <w:bookmarkStart w:id="2" w:name="_Toc17106"/>
      <w:bookmarkStart w:id="3" w:name="_Toc19758"/>
      <w:bookmarkStart w:id="4" w:name="_Toc101707648"/>
      <w:bookmarkStart w:id="5" w:name="_Toc23573"/>
      <w:bookmarkStart w:id="6" w:name="_Toc9251"/>
      <w:bookmarkStart w:id="7" w:name="_Toc13334"/>
      <w:bookmarkStart w:id="8" w:name="_Toc21720"/>
      <w:bookmarkStart w:id="9" w:name="OLE_LINK6"/>
      <w:bookmarkStart w:id="10" w:name="OLE_LINK1"/>
      <w:r>
        <w:rPr>
          <w:rFonts w:hint="eastAsia" w:cs="宋体" w:asciiTheme="minorEastAsia" w:hAnsiTheme="minorEastAsia" w:eastAsiaTheme="minorEastAsia"/>
          <w:color w:val="auto"/>
          <w:sz w:val="36"/>
          <w:szCs w:val="36"/>
          <w:highlight w:val="none"/>
          <w:lang w:eastAsia="zh-CN"/>
        </w:rPr>
        <w:t>2025年度怀宁县平山河砂开采点河砂运输服务项目</w:t>
      </w:r>
      <w:bookmarkEnd w:id="0"/>
      <w:bookmarkEnd w:id="1"/>
      <w:bookmarkEnd w:id="2"/>
      <w:bookmarkEnd w:id="3"/>
      <w:bookmarkEnd w:id="4"/>
      <w:bookmarkEnd w:id="5"/>
      <w:bookmarkEnd w:id="6"/>
      <w:bookmarkEnd w:id="7"/>
      <w:bookmarkEnd w:id="8"/>
      <w:r>
        <w:rPr>
          <w:rFonts w:hint="eastAsia" w:cs="宋体" w:asciiTheme="minorEastAsia" w:hAnsiTheme="minorEastAsia" w:eastAsiaTheme="minorEastAsia"/>
          <w:color w:val="auto"/>
          <w:sz w:val="36"/>
          <w:szCs w:val="36"/>
          <w:highlight w:val="none"/>
          <w:lang w:eastAsia="zh-CN"/>
        </w:rPr>
        <w:t>服务需求及技术要求</w:t>
      </w:r>
    </w:p>
    <w:p w14:paraId="4D92ACAD">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640"/>
        <w:jc w:val="center"/>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本项目采购标的所属行业：</w:t>
      </w:r>
      <w:r>
        <w:rPr>
          <w:rFonts w:hint="eastAsia" w:cs="宋体" w:asciiTheme="minorEastAsia" w:hAnsiTheme="minorEastAsia" w:eastAsiaTheme="minorEastAsia"/>
          <w:color w:val="auto"/>
          <w:kern w:val="0"/>
          <w:szCs w:val="21"/>
          <w:highlight w:val="none"/>
          <w:u w:val="single"/>
          <w:lang w:val="en-US" w:eastAsia="zh-CN"/>
        </w:rPr>
        <w:t xml:space="preserve"> 交通运输业</w:t>
      </w:r>
    </w:p>
    <w:p w14:paraId="055A82A9">
      <w:pPr>
        <w:keepNext w:val="0"/>
        <w:keepLines w:val="0"/>
        <w:pageBreakBefore w:val="0"/>
        <w:numPr>
          <w:ilvl w:val="0"/>
          <w:numId w:val="0"/>
        </w:numPr>
        <w:kinsoku/>
        <w:wordWrap/>
        <w:overflowPunct/>
        <w:topLinePunct w:val="0"/>
        <w:autoSpaceDE/>
        <w:autoSpaceDN/>
        <w:bidi w:val="0"/>
        <w:adjustRightInd/>
        <w:snapToGrid/>
        <w:ind w:firstLine="422" w:firstLineChars="200"/>
        <w:textAlignment w:val="auto"/>
        <w:rPr>
          <w:rFonts w:hint="eastAsia"/>
          <w:b/>
          <w:bCs/>
          <w:lang w:val="en-US" w:eastAsia="zh-CN"/>
        </w:rPr>
      </w:pPr>
      <w:r>
        <w:rPr>
          <w:rFonts w:hint="eastAsia" w:ascii="Times New Roman" w:hAnsi="Times New Roman" w:eastAsia="宋体" w:cs="Times New Roman"/>
          <w:b/>
          <w:bCs/>
          <w:kern w:val="2"/>
          <w:sz w:val="21"/>
          <w:szCs w:val="24"/>
          <w:lang w:val="en-US" w:eastAsia="zh-CN" w:bidi="ar-SA"/>
        </w:rPr>
        <w:t>一、</w:t>
      </w:r>
      <w:r>
        <w:rPr>
          <w:rFonts w:hint="eastAsia"/>
          <w:b/>
          <w:bCs/>
          <w:lang w:val="en-US" w:eastAsia="zh-CN"/>
        </w:rPr>
        <w:t>服务内容</w:t>
      </w:r>
    </w:p>
    <w:p w14:paraId="252A307A">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通过公路运输方式将甲方的河砂从平山镇岗山村临时堆砂点运输至黄龙河砂销售点或同等距离其他地点，运输里程13KM。运输费用（含税价）不超过15.00元/吨，以甲方收货过磅统计的净重为计算依据，按月结算运输费用，</w:t>
      </w:r>
      <w:r>
        <w:rPr>
          <w:rFonts w:hint="eastAsia" w:cs="宋体" w:asciiTheme="minorEastAsia" w:hAnsiTheme="minorEastAsia" w:eastAsiaTheme="minorEastAsia"/>
          <w:color w:val="auto"/>
          <w:kern w:val="0"/>
          <w:szCs w:val="21"/>
          <w:highlight w:val="none"/>
        </w:rPr>
        <w:t>最终结算</w:t>
      </w:r>
      <w:r>
        <w:rPr>
          <w:rFonts w:hint="eastAsia" w:cs="宋体" w:asciiTheme="minorEastAsia" w:hAnsiTheme="minorEastAsia" w:eastAsiaTheme="minorEastAsia"/>
          <w:color w:val="auto"/>
          <w:kern w:val="0"/>
          <w:szCs w:val="21"/>
          <w:highlight w:val="none"/>
          <w:lang w:eastAsia="zh-CN"/>
        </w:rPr>
        <w:t>金额</w:t>
      </w:r>
      <w:r>
        <w:rPr>
          <w:rFonts w:hint="eastAsia" w:cs="宋体" w:asciiTheme="minorEastAsia" w:hAnsiTheme="minorEastAsia" w:eastAsiaTheme="minorEastAsia"/>
          <w:color w:val="auto"/>
          <w:kern w:val="0"/>
          <w:szCs w:val="21"/>
          <w:highlight w:val="none"/>
          <w:lang w:val="en-US" w:eastAsia="zh-CN"/>
        </w:rPr>
        <w:t>=</w:t>
      </w:r>
      <w:r>
        <w:rPr>
          <w:rFonts w:hint="eastAsia" w:cs="宋体" w:asciiTheme="minorEastAsia" w:hAnsiTheme="minorEastAsia" w:eastAsiaTheme="minorEastAsia"/>
          <w:color w:val="auto"/>
          <w:kern w:val="0"/>
          <w:szCs w:val="21"/>
          <w:highlight w:val="none"/>
          <w:lang w:eastAsia="zh-CN"/>
        </w:rPr>
        <w:t>成交单价</w:t>
      </w:r>
      <w:r>
        <w:rPr>
          <w:rFonts w:hint="eastAsia" w:cs="宋体" w:asciiTheme="minorEastAsia" w:hAnsiTheme="minorEastAsia" w:eastAsiaTheme="minorEastAsia"/>
          <w:color w:val="auto"/>
          <w:kern w:val="0"/>
          <w:szCs w:val="21"/>
          <w:highlight w:val="none"/>
          <w:lang w:val="en-US" w:eastAsia="zh-CN"/>
        </w:rPr>
        <w:t>*实际运输总吨数。</w:t>
      </w:r>
    </w:p>
    <w:p w14:paraId="03533AF5">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2" w:firstLineChars="200"/>
        <w:textAlignment w:val="auto"/>
        <w:rPr>
          <w:rFonts w:hint="eastAsia" w:cs="宋体" w:asciiTheme="minorEastAsia" w:hAnsiTheme="minorEastAsia" w:eastAsiaTheme="minorEastAsia"/>
          <w:b/>
          <w:bCs/>
          <w:color w:val="auto"/>
          <w:kern w:val="0"/>
          <w:szCs w:val="21"/>
          <w:highlight w:val="none"/>
          <w:lang w:val="en-US" w:eastAsia="zh-CN"/>
        </w:rPr>
      </w:pPr>
      <w:r>
        <w:rPr>
          <w:rFonts w:hint="eastAsia" w:cs="宋体" w:asciiTheme="minorEastAsia" w:hAnsiTheme="minorEastAsia" w:eastAsiaTheme="minorEastAsia"/>
          <w:b/>
          <w:bCs/>
          <w:color w:val="auto"/>
          <w:kern w:val="0"/>
          <w:szCs w:val="21"/>
          <w:highlight w:val="none"/>
          <w:lang w:val="en-US" w:eastAsia="zh-CN"/>
        </w:rPr>
        <w:t>二、服务要求</w:t>
      </w:r>
    </w:p>
    <w:p w14:paraId="25E0AD29">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1.乙方应在接到甲方通知运输计划时安排车辆，确保次日正常运输。</w:t>
      </w:r>
    </w:p>
    <w:p w14:paraId="51B3B6AE">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drawing>
          <wp:anchor distT="0" distB="0" distL="0" distR="0" simplePos="0" relativeHeight="251659264" behindDoc="0" locked="0" layoutInCell="1" allowOverlap="1">
            <wp:simplePos x="0" y="0"/>
            <wp:positionH relativeFrom="column">
              <wp:posOffset>6628765</wp:posOffset>
            </wp:positionH>
            <wp:positionV relativeFrom="paragraph">
              <wp:posOffset>1189990</wp:posOffset>
            </wp:positionV>
            <wp:extent cx="46355" cy="1079500"/>
            <wp:effectExtent l="0" t="0" r="10795" b="635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
                    <a:stretch>
                      <a:fillRect/>
                    </a:stretch>
                  </pic:blipFill>
                  <pic:spPr>
                    <a:xfrm>
                      <a:off x="0" y="0"/>
                      <a:ext cx="46566" cy="1079500"/>
                    </a:xfrm>
                    <a:prstGeom prst="rect">
                      <a:avLst/>
                    </a:prstGeom>
                  </pic:spPr>
                </pic:pic>
              </a:graphicData>
            </a:graphic>
          </wp:anchor>
        </w:drawing>
      </w:r>
      <w:r>
        <w:rPr>
          <w:rFonts w:hint="eastAsia" w:cs="宋体" w:asciiTheme="minorEastAsia" w:hAnsiTheme="minorEastAsia" w:eastAsiaTheme="minorEastAsia"/>
          <w:color w:val="auto"/>
          <w:kern w:val="0"/>
          <w:szCs w:val="21"/>
          <w:highlight w:val="none"/>
          <w:lang w:val="en-US" w:eastAsia="zh-CN"/>
        </w:rPr>
        <w:t>2.乙方为甲方提供运输服务的车辆必须满足如下要求：一是所提供的车辆必须各类证件及保险齐全，办理合法营运手续，并按交通管理部门要求登记备案。二是所有运输车辆须安装GPS定位系统，运输时必须保证GPS定位系统正常运行，且乙方运输车辆定位系统须接入甲方电脑，甲方有权监管运输全过程。三是运输车辆必须采用前四后八轮货车，并达到“四个一”要求（即统一编号、 统一标识、统一密闭封装、统一安装定位装置）。</w:t>
      </w:r>
    </w:p>
    <w:p w14:paraId="1F465822">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3.乙方为甲方提供运输服务的车辆驾驶员必须满足如下要求：一是必须遵纪守法，依法取得准驾车型驾驶资格，无重大交通违法行为。二是严禁疲劳驾驶、酒后驾驶、超载、超速、违规载客。严禁运输车辆未按规定路线行驶，速度不均匀，忽快忽慢导致河砂遗漏。三是道路上行驶必须遵守 《中华人民共和国道路交通安全法》、《中华人民共和国道路交通安全法实施条例》有关规定。</w:t>
      </w:r>
    </w:p>
    <w:p w14:paraId="008EEF51">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4.乙方至少提供10辆符合要求的车辆保障每日的河砂运输量，且必须是固定车辆，一经确定，不可随意变更。如需变更，需得到甲方书面同意。乙方每月在运输工作日内运输量平均不低于</w:t>
      </w:r>
      <w:bookmarkStart w:id="11" w:name="_GoBack"/>
      <w:bookmarkEnd w:id="11"/>
      <w:r>
        <w:rPr>
          <w:rFonts w:hint="eastAsia" w:cs="宋体" w:asciiTheme="minorEastAsia" w:hAnsiTheme="minorEastAsia" w:eastAsiaTheme="minorEastAsia"/>
          <w:color w:val="auto"/>
          <w:kern w:val="0"/>
          <w:szCs w:val="21"/>
          <w:highlight w:val="none"/>
          <w:lang w:val="en-US" w:eastAsia="zh-CN"/>
        </w:rPr>
        <w:t>3000 吨/天（具体以甲方收货过磅统计的净重量为依据）。</w:t>
      </w:r>
    </w:p>
    <w:p w14:paraId="45DB93A9">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5.乙方必须依照相关法律法规规定的标准运输河砂，不可超限超载。运输途中，乙方不得私自转驳货物给其它车辆，未经甲方许可，不得中途更换司乘人员。如有特殊情况，须立即通知甲方协商解决。否则，由此引起的一切责任乙方自行承担。</w:t>
      </w:r>
    </w:p>
    <w:p w14:paraId="20284B2A">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6.乙方应每季度为合同中符合甲方运输服务要求的车辆驾驶人员召开安全培训会议，不断提高驾驶人员安全生产意识，细化考核考评，常抓不懈。把安全生产培训工作落实到实处。</w:t>
      </w:r>
    </w:p>
    <w:p w14:paraId="423D6C78">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7.乙方必须切实保证河砂的安全运输，运输途中一切责任由乙方自行负责。另外，若因途中一切人为原因或交通事故等客观原因造成的河砂减少，均由乙方承担一切责任。</w:t>
      </w:r>
    </w:p>
    <w:bookmarkEnd w:id="9"/>
    <w:bookmarkEnd w:id="10"/>
    <w:p w14:paraId="0B6305C8">
      <w:pPr>
        <w:keepNext w:val="0"/>
        <w:keepLines w:val="0"/>
        <w:pageBreakBefore w:val="0"/>
        <w:widowControl/>
        <w:shd w:val="clear" w:color="auto" w:fill="FFFFFF"/>
        <w:kinsoku/>
        <w:wordWrap/>
        <w:overflowPunct/>
        <w:topLinePunct w:val="0"/>
        <w:autoSpaceDE/>
        <w:autoSpaceDN/>
        <w:bidi w:val="0"/>
        <w:adjustRightInd/>
        <w:snapToGrid/>
        <w:spacing w:line="760" w:lineRule="exact"/>
        <w:ind w:firstLine="420" w:firstLineChars="200"/>
        <w:textAlignment w:val="auto"/>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eastAsiaTheme="minorEastAsia"/>
          <w:color w:val="auto"/>
          <w:kern w:val="0"/>
          <w:szCs w:val="21"/>
          <w:highlight w:val="none"/>
          <w:lang w:val="en-US" w:eastAsia="zh-CN"/>
        </w:rPr>
        <w:t>8.乙方须协调解决运输途中的一切矛盾纠纷，必须保证运砂车辆正常通行。</w:t>
      </w:r>
    </w:p>
    <w:p w14:paraId="332B1448">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E4E1E"/>
    <w:rsid w:val="16FC64CC"/>
    <w:rsid w:val="259827F7"/>
    <w:rsid w:val="272E1C12"/>
    <w:rsid w:val="4E205032"/>
    <w:rsid w:val="55767683"/>
    <w:rsid w:val="5D29728D"/>
    <w:rsid w:val="662639B1"/>
    <w:rsid w:val="749F474A"/>
    <w:rsid w:val="78B16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00" w:after="100"/>
      <w:jc w:val="center"/>
      <w:outlineLvl w:val="0"/>
    </w:pPr>
    <w:rPr>
      <w:b/>
      <w:bCs/>
      <w:kern w:val="44"/>
      <w:sz w:val="32"/>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toc 3"/>
    <w:basedOn w:val="1"/>
    <w:next w:val="1"/>
    <w:link w:val="10"/>
    <w:qFormat/>
    <w:uiPriority w:val="39"/>
    <w:pPr>
      <w:spacing w:line="500" w:lineRule="exact"/>
      <w:ind w:left="400" w:leftChars="400"/>
    </w:pPr>
    <w:rPr>
      <w:kern w:val="0"/>
      <w:sz w:val="24"/>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10">
    <w:name w:val="目录 3 Char"/>
    <w:link w:val="5"/>
    <w:autoRedefine/>
    <w:qFormat/>
    <w:uiPriority w:val="39"/>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965</Words>
  <Characters>991</Characters>
  <Lines>0</Lines>
  <Paragraphs>0</Paragraphs>
  <TotalTime>0</TotalTime>
  <ScaleCrop>false</ScaleCrop>
  <LinksUpToDate>false</LinksUpToDate>
  <CharactersWithSpaces>995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2025-04-30T07:27:00Z</dcterms:created>
  <dc:creator>Administrator</dc:creator>
  <cp:lastModifiedBy>江大花</cp:lastModifiedBy>
  <dcterms:modified xsi:type="dcterms:W3CDTF">2025-04-30T09:04:21Z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eyJoZGlkIjoiMjgyMWYxYjA5ZmFjMzkxN2NmNWM0ZGQwMjIxYzk1N2IiLCJ1c2VySWQiOiI1OTg4NzE5MDgifQ==</vt:lpwstr>
  </property>
  <property fmtid="{D5CDD505-2E9C-101B-9397-08002B2CF9AE}" pid="4" name="ICV">
    <vt:lpwstr>725B51A753F04702A178613B7BF56EA2_13</vt:lpwstr>
  </property>
</Properties>
</file>