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51C21">
      <w:pPr>
        <w:keepNext w:val="0"/>
        <w:keepLines w:val="0"/>
        <w:pageBreakBefore w:val="0"/>
        <w:kinsoku/>
        <w:wordWrap/>
        <w:overflowPunct/>
        <w:topLinePunct w:val="0"/>
        <w:autoSpaceDE/>
        <w:autoSpaceDN/>
        <w:bidi w:val="0"/>
        <w:adjustRightInd/>
        <w:snapToGrid/>
        <w:spacing w:line="396" w:lineRule="auto"/>
        <w:ind w:firstLine="643" w:firstLineChars="200"/>
        <w:jc w:val="center"/>
        <w:textAlignment w:val="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货物需求</w:t>
      </w:r>
      <w:r>
        <w:rPr>
          <w:rFonts w:hint="eastAsia" w:ascii="宋体" w:hAnsi="宋体" w:cs="宋体"/>
          <w:b/>
          <w:bCs/>
          <w:color w:val="auto"/>
          <w:sz w:val="32"/>
          <w:szCs w:val="32"/>
          <w:highlight w:val="none"/>
          <w:lang w:val="en-US" w:eastAsia="zh-CN"/>
        </w:rPr>
        <w:t>及技术参数</w:t>
      </w:r>
      <w:bookmarkStart w:id="0" w:name="_GoBack"/>
      <w:bookmarkEnd w:id="0"/>
    </w:p>
    <w:p w14:paraId="0A4A4076">
      <w:pPr>
        <w:keepNext w:val="0"/>
        <w:keepLines w:val="0"/>
        <w:pageBreakBefore w:val="0"/>
        <w:kinsoku/>
        <w:wordWrap/>
        <w:overflowPunct/>
        <w:topLinePunct w:val="0"/>
        <w:autoSpaceDE/>
        <w:autoSpaceDN/>
        <w:bidi w:val="0"/>
        <w:adjustRightInd/>
        <w:snapToGrid/>
        <w:spacing w:line="396" w:lineRule="auto"/>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一</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项目概况</w:t>
      </w:r>
    </w:p>
    <w:p w14:paraId="28938A25">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1、本项目共计约</w:t>
      </w:r>
      <w:r>
        <w:rPr>
          <w:rFonts w:hint="eastAsia" w:ascii="宋体" w:hAnsi="宋体" w:cs="宋体"/>
          <w:color w:val="auto"/>
          <w:sz w:val="24"/>
          <w:szCs w:val="24"/>
          <w:highlight w:val="none"/>
          <w:lang w:eastAsia="zh-CN"/>
        </w:rPr>
        <w:t>1700亩</w:t>
      </w:r>
      <w:r>
        <w:rPr>
          <w:rFonts w:hint="eastAsia" w:ascii="宋体" w:hAnsi="宋体" w:cs="宋体"/>
          <w:color w:val="auto"/>
          <w:sz w:val="24"/>
          <w:szCs w:val="24"/>
          <w:highlight w:val="none"/>
        </w:rPr>
        <w:t>（具体地块面积以第三方实际测绘亩数为准），实现蓝莓种植的水肥一体化，帮助招标人方便的实现水肥一体化管理，实现对灌溉、施肥的定时、定量控制，节水节肥、省时省力。</w:t>
      </w:r>
    </w:p>
    <w:p w14:paraId="5B7CB4CA">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2、报价要求</w:t>
      </w:r>
    </w:p>
    <w:p w14:paraId="46DA3253">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投标人应在专业技术、设备设施、人员组织、业绩经验等方面具有设计、制造、质量控制、经营管理的相应的资格和能力。</w:t>
      </w:r>
    </w:p>
    <w:p w14:paraId="54C0C676">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投标人的报价平均亩单价不得高于2000元人民币。</w:t>
      </w:r>
      <w:r>
        <w:rPr>
          <w:rFonts w:hint="eastAsia" w:ascii="宋体" w:hAnsi="宋体" w:cs="宋体"/>
          <w:color w:val="auto"/>
          <w:sz w:val="24"/>
          <w:szCs w:val="24"/>
          <w:highlight w:val="none"/>
          <w:lang w:val="en-US" w:eastAsia="zh-CN"/>
        </w:rPr>
        <w:t>招标人与中标人签订合同后，资金支付由招标人根据各地块安装进度实际情况合理安排支付。投标人在投标时应提供各基地地块详细清单及施工图，根据清单据实结算且项目总价不超过：</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1700亩</w:t>
      </w:r>
      <w:r>
        <w:rPr>
          <w:rFonts w:hint="eastAsia" w:ascii="宋体" w:hAnsi="宋体" w:cs="宋体"/>
          <w:color w:val="auto"/>
          <w:sz w:val="24"/>
          <w:szCs w:val="24"/>
          <w:highlight w:val="none"/>
        </w:rPr>
        <w:t>（具体地块面积以第三方实际测绘亩数为准）*中标人的投标报价”。投标单位的投标报价超出平均亩单价的，按无效投标处理。</w:t>
      </w:r>
    </w:p>
    <w:p w14:paraId="09E67E35">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投标人必须按照招标需求内容、细化后的图纸内容在报价中充分考虑所有可能发生的费用，否则招标人将视报价总价中已包括所有费用。</w:t>
      </w:r>
    </w:p>
    <w:p w14:paraId="3ACDDBB8">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投标报价应按照工程量、结合市场情况及企业自身实力进行报价，报价包含完成本项目的设备及备品、备件和专用工具费用、税金、包装及运输、保险、检测验收、调试及交付使用后维保等工作所发生的费用及投标人认为完成本采购项目规定内容所需发生的其它费用，凡未列入的，将被视为均已包含在投标总报价中。</w:t>
      </w:r>
    </w:p>
    <w:p w14:paraId="01F53990">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3、项目建设要求</w:t>
      </w:r>
    </w:p>
    <w:p w14:paraId="42575FF1">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本项目整体要求是安全、适用、满足实际使用功能，同时兼备科技先进性。设计符合国家有关设计规范、标准及规程。</w:t>
      </w:r>
    </w:p>
    <w:p w14:paraId="5C3B8276">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坚持从实际出发，合理确定设计标准，对生产工艺，主要设备和主体工程做到先进、适用、可靠。</w:t>
      </w:r>
    </w:p>
    <w:p w14:paraId="1F21D92B">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本项目必须按照工程设计图纸和施工技术标准施工，安装质量符合各项技术标准和国家、行业标准。</w:t>
      </w:r>
    </w:p>
    <w:p w14:paraId="2E194727">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质量要求：达到合格等级。</w:t>
      </w:r>
    </w:p>
    <w:p w14:paraId="3CEF5B06">
      <w:pPr>
        <w:keepNext w:val="0"/>
        <w:keepLines w:val="0"/>
        <w:pageBreakBefore w:val="0"/>
        <w:kinsoku/>
        <w:wordWrap/>
        <w:overflowPunct/>
        <w:topLinePunct w:val="0"/>
        <w:autoSpaceDE/>
        <w:autoSpaceDN/>
        <w:bidi w:val="0"/>
        <w:adjustRightInd/>
        <w:snapToGrid/>
        <w:spacing w:line="396"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4、项目概况：怀宁县19个乡镇（除石牌镇外）的蓝莓基地，具体地块以乡镇实际交付情况为准，具体地块面积以第三方实际测绘亩数为准。</w:t>
      </w:r>
    </w:p>
    <w:tbl>
      <w:tblPr>
        <w:tblStyle w:val="5"/>
        <w:tblW w:w="83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316"/>
        <w:gridCol w:w="2295"/>
        <w:gridCol w:w="1080"/>
        <w:gridCol w:w="1542"/>
      </w:tblGrid>
      <w:tr w14:paraId="4625B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37E8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4B8285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乡镇</w:t>
            </w:r>
          </w:p>
        </w:tc>
        <w:tc>
          <w:tcPr>
            <w:tcW w:w="1316" w:type="dxa"/>
            <w:tcBorders>
              <w:top w:val="single" w:color="000000" w:sz="8" w:space="0"/>
              <w:left w:val="nil"/>
              <w:bottom w:val="single" w:color="000000" w:sz="8" w:space="0"/>
              <w:right w:val="single" w:color="000000" w:sz="8" w:space="0"/>
            </w:tcBorders>
            <w:shd w:val="clear" w:color="auto" w:fill="auto"/>
            <w:noWrap/>
            <w:vAlign w:val="center"/>
          </w:tcPr>
          <w:p w14:paraId="75B60F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公司</w:t>
            </w:r>
          </w:p>
        </w:tc>
        <w:tc>
          <w:tcPr>
            <w:tcW w:w="2295" w:type="dxa"/>
            <w:tcBorders>
              <w:top w:val="single" w:color="000000" w:sz="8" w:space="0"/>
              <w:left w:val="nil"/>
              <w:bottom w:val="single" w:color="000000" w:sz="8" w:space="0"/>
              <w:right w:val="single" w:color="000000" w:sz="8" w:space="0"/>
            </w:tcBorders>
            <w:shd w:val="clear" w:color="auto" w:fill="auto"/>
            <w:noWrap/>
            <w:vAlign w:val="center"/>
          </w:tcPr>
          <w:p w14:paraId="60919D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基地</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6D83A1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亩数</w:t>
            </w:r>
          </w:p>
        </w:tc>
        <w:tc>
          <w:tcPr>
            <w:tcW w:w="1542" w:type="dxa"/>
            <w:tcBorders>
              <w:top w:val="single" w:color="000000" w:sz="8" w:space="0"/>
              <w:left w:val="nil"/>
              <w:bottom w:val="single" w:color="000000" w:sz="8" w:space="0"/>
              <w:right w:val="single" w:color="000000" w:sz="8" w:space="0"/>
            </w:tcBorders>
            <w:shd w:val="clear" w:color="auto" w:fill="auto"/>
            <w:noWrap/>
            <w:vAlign w:val="center"/>
          </w:tcPr>
          <w:p w14:paraId="6B082E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BBC5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A44D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2C54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马庙镇</w:t>
            </w:r>
          </w:p>
        </w:tc>
        <w:tc>
          <w:tcPr>
            <w:tcW w:w="0" w:type="auto"/>
            <w:tcBorders>
              <w:top w:val="nil"/>
              <w:left w:val="nil"/>
              <w:bottom w:val="single" w:color="000000" w:sz="8" w:space="0"/>
              <w:right w:val="single" w:color="000000" w:sz="8" w:space="0"/>
            </w:tcBorders>
            <w:shd w:val="clear" w:color="auto" w:fill="auto"/>
            <w:noWrap/>
            <w:vAlign w:val="center"/>
          </w:tcPr>
          <w:p w14:paraId="709C4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新征程公司</w:t>
            </w:r>
          </w:p>
        </w:tc>
        <w:tc>
          <w:tcPr>
            <w:tcW w:w="0" w:type="auto"/>
            <w:tcBorders>
              <w:top w:val="nil"/>
              <w:left w:val="nil"/>
              <w:bottom w:val="single" w:color="000000" w:sz="8" w:space="0"/>
              <w:right w:val="single" w:color="000000" w:sz="8" w:space="0"/>
            </w:tcBorders>
            <w:shd w:val="clear" w:color="auto" w:fill="auto"/>
            <w:noWrap/>
            <w:vAlign w:val="center"/>
          </w:tcPr>
          <w:p w14:paraId="71528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枫林社区基地</w:t>
            </w:r>
          </w:p>
        </w:tc>
        <w:tc>
          <w:tcPr>
            <w:tcW w:w="0" w:type="auto"/>
            <w:tcBorders>
              <w:top w:val="nil"/>
              <w:left w:val="nil"/>
              <w:bottom w:val="single" w:color="000000" w:sz="8" w:space="0"/>
              <w:right w:val="single" w:color="000000" w:sz="8" w:space="0"/>
            </w:tcBorders>
            <w:shd w:val="clear" w:color="auto" w:fill="auto"/>
            <w:noWrap/>
            <w:vAlign w:val="center"/>
          </w:tcPr>
          <w:p w14:paraId="0E0A2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0E0B7901">
            <w:pPr>
              <w:jc w:val="center"/>
              <w:rPr>
                <w:rFonts w:hint="eastAsia" w:ascii="宋体" w:hAnsi="宋体" w:eastAsia="宋体" w:cs="宋体"/>
                <w:b/>
                <w:bCs/>
                <w:i w:val="0"/>
                <w:iCs w:val="0"/>
                <w:color w:val="000000"/>
                <w:sz w:val="22"/>
                <w:szCs w:val="22"/>
                <w:u w:val="none"/>
              </w:rPr>
            </w:pPr>
          </w:p>
        </w:tc>
      </w:tr>
      <w:tr w14:paraId="4938D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1163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9BC62D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65E81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马塘公司</w:t>
            </w:r>
          </w:p>
        </w:tc>
        <w:tc>
          <w:tcPr>
            <w:tcW w:w="0" w:type="auto"/>
            <w:tcBorders>
              <w:top w:val="nil"/>
              <w:left w:val="nil"/>
              <w:bottom w:val="single" w:color="000000" w:sz="8" w:space="0"/>
              <w:right w:val="single" w:color="000000" w:sz="8" w:space="0"/>
            </w:tcBorders>
            <w:shd w:val="clear" w:color="auto" w:fill="auto"/>
            <w:noWrap/>
            <w:vAlign w:val="center"/>
          </w:tcPr>
          <w:p w14:paraId="69127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磨塘村基地</w:t>
            </w:r>
          </w:p>
        </w:tc>
        <w:tc>
          <w:tcPr>
            <w:tcW w:w="0" w:type="auto"/>
            <w:tcBorders>
              <w:top w:val="nil"/>
              <w:left w:val="nil"/>
              <w:bottom w:val="single" w:color="000000" w:sz="8" w:space="0"/>
              <w:right w:val="single" w:color="000000" w:sz="8" w:space="0"/>
            </w:tcBorders>
            <w:shd w:val="clear" w:color="auto" w:fill="auto"/>
            <w:noWrap/>
            <w:vAlign w:val="center"/>
          </w:tcPr>
          <w:p w14:paraId="5C1D7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2B61B869">
            <w:pPr>
              <w:jc w:val="center"/>
              <w:rPr>
                <w:rFonts w:hint="eastAsia" w:ascii="宋体" w:hAnsi="宋体" w:eastAsia="宋体" w:cs="宋体"/>
                <w:b/>
                <w:bCs/>
                <w:i w:val="0"/>
                <w:iCs w:val="0"/>
                <w:color w:val="000000"/>
                <w:sz w:val="22"/>
                <w:szCs w:val="22"/>
                <w:u w:val="none"/>
              </w:rPr>
            </w:pPr>
          </w:p>
        </w:tc>
      </w:tr>
      <w:tr w14:paraId="62C79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9180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14:paraId="55DF6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高河镇</w:t>
            </w:r>
          </w:p>
        </w:tc>
        <w:tc>
          <w:tcPr>
            <w:tcW w:w="0" w:type="auto"/>
            <w:tcBorders>
              <w:top w:val="nil"/>
              <w:left w:val="nil"/>
              <w:bottom w:val="single" w:color="000000" w:sz="8" w:space="0"/>
              <w:right w:val="single" w:color="000000" w:sz="8" w:space="0"/>
            </w:tcBorders>
            <w:shd w:val="clear" w:color="auto" w:fill="auto"/>
            <w:noWrap/>
            <w:vAlign w:val="center"/>
          </w:tcPr>
          <w:p w14:paraId="55D2C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和牧公司</w:t>
            </w:r>
          </w:p>
        </w:tc>
        <w:tc>
          <w:tcPr>
            <w:tcW w:w="0" w:type="auto"/>
            <w:tcBorders>
              <w:top w:val="nil"/>
              <w:left w:val="nil"/>
              <w:bottom w:val="single" w:color="000000" w:sz="8" w:space="0"/>
              <w:right w:val="single" w:color="000000" w:sz="8" w:space="0"/>
            </w:tcBorders>
            <w:shd w:val="clear" w:color="auto" w:fill="auto"/>
            <w:noWrap/>
            <w:vAlign w:val="center"/>
          </w:tcPr>
          <w:p w14:paraId="5318A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双牧村基地</w:t>
            </w:r>
          </w:p>
        </w:tc>
        <w:tc>
          <w:tcPr>
            <w:tcW w:w="0" w:type="auto"/>
            <w:tcBorders>
              <w:top w:val="nil"/>
              <w:left w:val="nil"/>
              <w:bottom w:val="single" w:color="000000" w:sz="8" w:space="0"/>
              <w:right w:val="single" w:color="000000" w:sz="8" w:space="0"/>
            </w:tcBorders>
            <w:shd w:val="clear" w:color="auto" w:fill="auto"/>
            <w:noWrap/>
            <w:vAlign w:val="center"/>
          </w:tcPr>
          <w:p w14:paraId="67C1A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348C0B8A">
            <w:pPr>
              <w:jc w:val="center"/>
              <w:rPr>
                <w:rFonts w:hint="eastAsia" w:ascii="宋体" w:hAnsi="宋体" w:eastAsia="宋体" w:cs="宋体"/>
                <w:b/>
                <w:bCs/>
                <w:i w:val="0"/>
                <w:iCs w:val="0"/>
                <w:color w:val="000000"/>
                <w:sz w:val="22"/>
                <w:szCs w:val="22"/>
                <w:u w:val="none"/>
              </w:rPr>
            </w:pPr>
          </w:p>
        </w:tc>
      </w:tr>
      <w:tr w14:paraId="3B38B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BD49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14:paraId="14C75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金拱镇</w:t>
            </w:r>
          </w:p>
        </w:tc>
        <w:tc>
          <w:tcPr>
            <w:tcW w:w="0" w:type="auto"/>
            <w:tcBorders>
              <w:top w:val="nil"/>
              <w:left w:val="nil"/>
              <w:bottom w:val="single" w:color="000000" w:sz="8" w:space="0"/>
              <w:right w:val="single" w:color="000000" w:sz="8" w:space="0"/>
            </w:tcBorders>
            <w:shd w:val="clear" w:color="auto" w:fill="auto"/>
            <w:noWrap/>
            <w:vAlign w:val="center"/>
          </w:tcPr>
          <w:p w14:paraId="7B9EA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0" w:type="auto"/>
            <w:tcBorders>
              <w:top w:val="nil"/>
              <w:left w:val="nil"/>
              <w:bottom w:val="single" w:color="000000" w:sz="8" w:space="0"/>
              <w:right w:val="single" w:color="000000" w:sz="8" w:space="0"/>
            </w:tcBorders>
            <w:shd w:val="clear" w:color="auto" w:fill="auto"/>
            <w:noWrap/>
            <w:vAlign w:val="center"/>
          </w:tcPr>
          <w:p w14:paraId="6EBF8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前楼村基地</w:t>
            </w:r>
          </w:p>
        </w:tc>
        <w:tc>
          <w:tcPr>
            <w:tcW w:w="0" w:type="auto"/>
            <w:tcBorders>
              <w:top w:val="nil"/>
              <w:left w:val="nil"/>
              <w:bottom w:val="single" w:color="000000" w:sz="8" w:space="0"/>
              <w:right w:val="single" w:color="000000" w:sz="8" w:space="0"/>
            </w:tcBorders>
            <w:shd w:val="clear" w:color="auto" w:fill="auto"/>
            <w:noWrap/>
            <w:vAlign w:val="center"/>
          </w:tcPr>
          <w:p w14:paraId="19799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1665E4D3">
            <w:pPr>
              <w:jc w:val="center"/>
              <w:rPr>
                <w:rFonts w:hint="eastAsia" w:ascii="宋体" w:hAnsi="宋体" w:eastAsia="宋体" w:cs="宋体"/>
                <w:b/>
                <w:bCs/>
                <w:i w:val="0"/>
                <w:iCs w:val="0"/>
                <w:color w:val="000000"/>
                <w:sz w:val="22"/>
                <w:szCs w:val="22"/>
                <w:u w:val="none"/>
              </w:rPr>
            </w:pPr>
          </w:p>
        </w:tc>
      </w:tr>
      <w:tr w14:paraId="0A5FF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9D4E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3557C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秀山乡</w:t>
            </w:r>
          </w:p>
        </w:tc>
        <w:tc>
          <w:tcPr>
            <w:tcW w:w="0" w:type="auto"/>
            <w:tcBorders>
              <w:top w:val="nil"/>
              <w:left w:val="nil"/>
              <w:bottom w:val="single" w:color="000000" w:sz="8" w:space="0"/>
              <w:right w:val="single" w:color="000000" w:sz="8" w:space="0"/>
            </w:tcBorders>
            <w:shd w:val="clear" w:color="auto" w:fill="auto"/>
            <w:noWrap/>
            <w:vAlign w:val="center"/>
          </w:tcPr>
          <w:p w14:paraId="7B32E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众发公司</w:t>
            </w:r>
          </w:p>
        </w:tc>
        <w:tc>
          <w:tcPr>
            <w:tcW w:w="0" w:type="auto"/>
            <w:tcBorders>
              <w:top w:val="nil"/>
              <w:left w:val="nil"/>
              <w:bottom w:val="single" w:color="000000" w:sz="8" w:space="0"/>
              <w:right w:val="single" w:color="000000" w:sz="8" w:space="0"/>
            </w:tcBorders>
            <w:shd w:val="clear" w:color="auto" w:fill="auto"/>
            <w:noWrap/>
            <w:vAlign w:val="center"/>
          </w:tcPr>
          <w:p w14:paraId="4CF00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独秀村基地</w:t>
            </w:r>
          </w:p>
        </w:tc>
        <w:tc>
          <w:tcPr>
            <w:tcW w:w="0" w:type="auto"/>
            <w:tcBorders>
              <w:top w:val="nil"/>
              <w:left w:val="nil"/>
              <w:bottom w:val="single" w:color="000000" w:sz="8" w:space="0"/>
              <w:right w:val="single" w:color="000000" w:sz="8" w:space="0"/>
            </w:tcBorders>
            <w:shd w:val="clear" w:color="auto" w:fill="auto"/>
            <w:noWrap/>
            <w:vAlign w:val="center"/>
          </w:tcPr>
          <w:p w14:paraId="05FC7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554A130A">
            <w:pPr>
              <w:jc w:val="center"/>
              <w:rPr>
                <w:rFonts w:hint="eastAsia" w:ascii="宋体" w:hAnsi="宋体" w:eastAsia="宋体" w:cs="宋体"/>
                <w:b/>
                <w:bCs/>
                <w:i w:val="0"/>
                <w:iCs w:val="0"/>
                <w:color w:val="000000"/>
                <w:sz w:val="22"/>
                <w:szCs w:val="22"/>
                <w:u w:val="none"/>
              </w:rPr>
            </w:pPr>
          </w:p>
        </w:tc>
      </w:tr>
      <w:tr w14:paraId="14E31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8027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6812FECD">
            <w:pPr>
              <w:jc w:val="center"/>
              <w:rPr>
                <w:rFonts w:hint="eastAsia" w:ascii="宋体" w:hAnsi="宋体" w:eastAsia="宋体" w:cs="宋体"/>
                <w:i w:val="0"/>
                <w:iCs w:val="0"/>
                <w:color w:val="000000"/>
                <w:sz w:val="22"/>
                <w:szCs w:val="22"/>
                <w:u w:val="none"/>
              </w:rPr>
            </w:pPr>
          </w:p>
        </w:tc>
        <w:tc>
          <w:tcPr>
            <w:tcW w:w="0" w:type="auto"/>
            <w:vMerge w:val="restart"/>
            <w:tcBorders>
              <w:top w:val="nil"/>
              <w:left w:val="nil"/>
              <w:bottom w:val="single" w:color="000000" w:sz="8" w:space="0"/>
              <w:right w:val="single" w:color="000000" w:sz="8" w:space="0"/>
            </w:tcBorders>
            <w:shd w:val="clear" w:color="auto" w:fill="auto"/>
            <w:noWrap/>
            <w:vAlign w:val="center"/>
          </w:tcPr>
          <w:p w14:paraId="4428B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秋水公司</w:t>
            </w:r>
          </w:p>
        </w:tc>
        <w:tc>
          <w:tcPr>
            <w:tcW w:w="0" w:type="auto"/>
            <w:tcBorders>
              <w:top w:val="nil"/>
              <w:left w:val="nil"/>
              <w:bottom w:val="single" w:color="000000" w:sz="8" w:space="0"/>
              <w:right w:val="single" w:color="000000" w:sz="8" w:space="0"/>
            </w:tcBorders>
            <w:shd w:val="clear" w:color="auto" w:fill="auto"/>
            <w:noWrap/>
            <w:vAlign w:val="center"/>
          </w:tcPr>
          <w:p w14:paraId="5C6D27D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蒋楼村基地1</w:t>
            </w:r>
          </w:p>
        </w:tc>
        <w:tc>
          <w:tcPr>
            <w:tcW w:w="0" w:type="auto"/>
            <w:tcBorders>
              <w:top w:val="nil"/>
              <w:left w:val="nil"/>
              <w:bottom w:val="single" w:color="000000" w:sz="8" w:space="0"/>
              <w:right w:val="single" w:color="000000" w:sz="8" w:space="0"/>
            </w:tcBorders>
            <w:shd w:val="clear" w:color="auto" w:fill="auto"/>
            <w:noWrap/>
            <w:vAlign w:val="center"/>
          </w:tcPr>
          <w:p w14:paraId="197FD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7E63320E">
            <w:pPr>
              <w:jc w:val="center"/>
              <w:rPr>
                <w:rFonts w:hint="eastAsia" w:ascii="宋体" w:hAnsi="宋体" w:eastAsia="宋体" w:cs="宋体"/>
                <w:b/>
                <w:bCs/>
                <w:i w:val="0"/>
                <w:iCs w:val="0"/>
                <w:color w:val="000000"/>
                <w:sz w:val="22"/>
                <w:szCs w:val="22"/>
                <w:u w:val="none"/>
              </w:rPr>
            </w:pPr>
          </w:p>
        </w:tc>
      </w:tr>
      <w:tr w14:paraId="1E32B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EF99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1B8671D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B42B2B7">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7B47552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蒋楼村基地2</w:t>
            </w:r>
          </w:p>
        </w:tc>
        <w:tc>
          <w:tcPr>
            <w:tcW w:w="0" w:type="auto"/>
            <w:tcBorders>
              <w:top w:val="nil"/>
              <w:left w:val="nil"/>
              <w:bottom w:val="single" w:color="000000" w:sz="8" w:space="0"/>
              <w:right w:val="single" w:color="000000" w:sz="8" w:space="0"/>
            </w:tcBorders>
            <w:shd w:val="clear" w:color="auto" w:fill="auto"/>
            <w:noWrap/>
            <w:vAlign w:val="center"/>
          </w:tcPr>
          <w:p w14:paraId="23321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347963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接入原有泵房</w:t>
            </w:r>
          </w:p>
        </w:tc>
      </w:tr>
      <w:tr w14:paraId="5C77D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152B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03E862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7282E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龙强公司</w:t>
            </w:r>
          </w:p>
        </w:tc>
        <w:tc>
          <w:tcPr>
            <w:tcW w:w="0" w:type="auto"/>
            <w:tcBorders>
              <w:top w:val="nil"/>
              <w:left w:val="nil"/>
              <w:bottom w:val="single" w:color="000000" w:sz="8" w:space="0"/>
              <w:right w:val="single" w:color="000000" w:sz="8" w:space="0"/>
            </w:tcBorders>
            <w:shd w:val="clear" w:color="auto" w:fill="auto"/>
            <w:noWrap/>
            <w:vAlign w:val="center"/>
          </w:tcPr>
          <w:p w14:paraId="129A391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双龙村（二期）基地</w:t>
            </w:r>
          </w:p>
        </w:tc>
        <w:tc>
          <w:tcPr>
            <w:tcW w:w="0" w:type="auto"/>
            <w:tcBorders>
              <w:top w:val="nil"/>
              <w:left w:val="nil"/>
              <w:bottom w:val="single" w:color="000000" w:sz="8" w:space="0"/>
              <w:right w:val="single" w:color="000000" w:sz="8" w:space="0"/>
            </w:tcBorders>
            <w:shd w:val="clear" w:color="auto" w:fill="auto"/>
            <w:noWrap/>
            <w:vAlign w:val="center"/>
          </w:tcPr>
          <w:p w14:paraId="0EC49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vMerge w:val="restart"/>
            <w:tcBorders>
              <w:top w:val="single" w:color="000000" w:sz="8" w:space="0"/>
              <w:left w:val="nil"/>
              <w:bottom w:val="single" w:color="000000" w:sz="8" w:space="0"/>
              <w:right w:val="single" w:color="000000" w:sz="8" w:space="0"/>
            </w:tcBorders>
            <w:shd w:val="clear" w:color="auto" w:fill="auto"/>
            <w:noWrap/>
            <w:vAlign w:val="center"/>
          </w:tcPr>
          <w:p w14:paraId="54BA46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共用1个泵房</w:t>
            </w:r>
          </w:p>
        </w:tc>
      </w:tr>
      <w:tr w14:paraId="51768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E06A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10DA85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6A3AC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秋水公司</w:t>
            </w:r>
          </w:p>
        </w:tc>
        <w:tc>
          <w:tcPr>
            <w:tcW w:w="0" w:type="auto"/>
            <w:tcBorders>
              <w:top w:val="nil"/>
              <w:left w:val="nil"/>
              <w:bottom w:val="single" w:color="000000" w:sz="8" w:space="0"/>
              <w:right w:val="single" w:color="000000" w:sz="8" w:space="0"/>
            </w:tcBorders>
            <w:shd w:val="clear" w:color="auto" w:fill="auto"/>
            <w:noWrap/>
            <w:vAlign w:val="center"/>
          </w:tcPr>
          <w:p w14:paraId="4072E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双龙村基地</w:t>
            </w:r>
          </w:p>
        </w:tc>
        <w:tc>
          <w:tcPr>
            <w:tcW w:w="0" w:type="auto"/>
            <w:tcBorders>
              <w:top w:val="nil"/>
              <w:left w:val="nil"/>
              <w:bottom w:val="single" w:color="000000" w:sz="8" w:space="0"/>
              <w:right w:val="single" w:color="000000" w:sz="8" w:space="0"/>
            </w:tcBorders>
            <w:shd w:val="clear" w:color="auto" w:fill="auto"/>
            <w:noWrap/>
            <w:vAlign w:val="center"/>
          </w:tcPr>
          <w:p w14:paraId="23F6B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vMerge w:val="continue"/>
            <w:tcBorders>
              <w:top w:val="single" w:color="000000" w:sz="8" w:space="0"/>
              <w:left w:val="nil"/>
              <w:bottom w:val="single" w:color="000000" w:sz="8" w:space="0"/>
              <w:right w:val="single" w:color="000000" w:sz="8" w:space="0"/>
            </w:tcBorders>
            <w:shd w:val="clear" w:color="auto" w:fill="auto"/>
            <w:noWrap/>
            <w:vAlign w:val="center"/>
          </w:tcPr>
          <w:p w14:paraId="5C0E72C2">
            <w:pPr>
              <w:jc w:val="center"/>
              <w:rPr>
                <w:rFonts w:hint="eastAsia" w:ascii="宋体" w:hAnsi="宋体" w:eastAsia="宋体" w:cs="宋体"/>
                <w:b/>
                <w:bCs/>
                <w:i w:val="0"/>
                <w:iCs w:val="0"/>
                <w:color w:val="000000"/>
                <w:sz w:val="22"/>
                <w:szCs w:val="22"/>
                <w:u w:val="none"/>
              </w:rPr>
            </w:pPr>
          </w:p>
        </w:tc>
      </w:tr>
      <w:tr w14:paraId="74164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D951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2365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小市镇</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21457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0" w:type="auto"/>
            <w:tcBorders>
              <w:top w:val="nil"/>
              <w:left w:val="nil"/>
              <w:bottom w:val="single" w:color="000000" w:sz="8" w:space="0"/>
              <w:right w:val="single" w:color="000000" w:sz="8" w:space="0"/>
            </w:tcBorders>
            <w:shd w:val="clear" w:color="auto" w:fill="auto"/>
            <w:noWrap/>
            <w:vAlign w:val="center"/>
          </w:tcPr>
          <w:p w14:paraId="5E8DC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毛安村基地1</w:t>
            </w:r>
          </w:p>
        </w:tc>
        <w:tc>
          <w:tcPr>
            <w:tcW w:w="0" w:type="auto"/>
            <w:tcBorders>
              <w:top w:val="nil"/>
              <w:left w:val="nil"/>
              <w:bottom w:val="single" w:color="000000" w:sz="8" w:space="0"/>
              <w:right w:val="single" w:color="000000" w:sz="8" w:space="0"/>
            </w:tcBorders>
            <w:shd w:val="clear" w:color="auto" w:fill="auto"/>
            <w:noWrap/>
            <w:vAlign w:val="center"/>
          </w:tcPr>
          <w:p w14:paraId="2EE87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20200010">
            <w:pPr>
              <w:jc w:val="center"/>
              <w:rPr>
                <w:rFonts w:hint="eastAsia" w:ascii="宋体" w:hAnsi="宋体" w:eastAsia="宋体" w:cs="宋体"/>
                <w:b/>
                <w:bCs/>
                <w:i w:val="0"/>
                <w:iCs w:val="0"/>
                <w:color w:val="000000"/>
                <w:sz w:val="22"/>
                <w:szCs w:val="22"/>
                <w:u w:val="none"/>
              </w:rPr>
            </w:pPr>
          </w:p>
        </w:tc>
      </w:tr>
      <w:tr w14:paraId="2F9E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CC78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4BD4584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8CA4CC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04E2A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毛安村基地2</w:t>
            </w:r>
          </w:p>
        </w:tc>
        <w:tc>
          <w:tcPr>
            <w:tcW w:w="0" w:type="auto"/>
            <w:tcBorders>
              <w:top w:val="nil"/>
              <w:left w:val="nil"/>
              <w:bottom w:val="single" w:color="000000" w:sz="8" w:space="0"/>
              <w:right w:val="single" w:color="000000" w:sz="8" w:space="0"/>
            </w:tcBorders>
            <w:shd w:val="clear" w:color="auto" w:fill="auto"/>
            <w:noWrap/>
            <w:vAlign w:val="center"/>
          </w:tcPr>
          <w:p w14:paraId="02931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542" w:type="dxa"/>
            <w:tcBorders>
              <w:top w:val="nil"/>
              <w:left w:val="nil"/>
              <w:bottom w:val="single" w:color="000000" w:sz="8" w:space="0"/>
              <w:right w:val="single" w:color="000000" w:sz="8" w:space="0"/>
            </w:tcBorders>
            <w:shd w:val="clear" w:color="auto" w:fill="auto"/>
            <w:vAlign w:val="center"/>
          </w:tcPr>
          <w:p w14:paraId="28885C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另有约42亩管道接入</w:t>
            </w:r>
          </w:p>
        </w:tc>
      </w:tr>
      <w:tr w14:paraId="78904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C3E8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vMerge w:val="continue"/>
            <w:tcBorders>
              <w:top w:val="nil"/>
              <w:left w:val="nil"/>
              <w:bottom w:val="single" w:color="000000" w:sz="8" w:space="0"/>
              <w:right w:val="single" w:color="000000" w:sz="8" w:space="0"/>
            </w:tcBorders>
            <w:shd w:val="clear" w:color="auto" w:fill="auto"/>
            <w:noWrap/>
            <w:vAlign w:val="center"/>
          </w:tcPr>
          <w:p w14:paraId="3DEA27A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153C95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57B62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毛安村基地3</w:t>
            </w:r>
          </w:p>
        </w:tc>
        <w:tc>
          <w:tcPr>
            <w:tcW w:w="0" w:type="auto"/>
            <w:tcBorders>
              <w:top w:val="nil"/>
              <w:left w:val="nil"/>
              <w:bottom w:val="single" w:color="000000" w:sz="8" w:space="0"/>
              <w:right w:val="single" w:color="000000" w:sz="8" w:space="0"/>
            </w:tcBorders>
            <w:shd w:val="clear" w:color="auto" w:fill="auto"/>
            <w:noWrap/>
            <w:vAlign w:val="center"/>
          </w:tcPr>
          <w:p w14:paraId="44D50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38A2B291">
            <w:pPr>
              <w:jc w:val="center"/>
              <w:rPr>
                <w:rFonts w:hint="eastAsia" w:ascii="宋体" w:hAnsi="宋体" w:eastAsia="宋体" w:cs="宋体"/>
                <w:b/>
                <w:bCs/>
                <w:i w:val="0"/>
                <w:iCs w:val="0"/>
                <w:color w:val="000000"/>
                <w:sz w:val="22"/>
                <w:szCs w:val="22"/>
                <w:u w:val="none"/>
              </w:rPr>
            </w:pPr>
          </w:p>
        </w:tc>
      </w:tr>
      <w:tr w14:paraId="6B585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FAB3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8" w:space="0"/>
              <w:right w:val="single" w:color="000000" w:sz="8" w:space="0"/>
            </w:tcBorders>
            <w:shd w:val="clear" w:color="auto" w:fill="auto"/>
            <w:noWrap/>
            <w:vAlign w:val="center"/>
          </w:tcPr>
          <w:p w14:paraId="5631E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凉亭乡</w:t>
            </w:r>
          </w:p>
        </w:tc>
        <w:tc>
          <w:tcPr>
            <w:tcW w:w="0" w:type="auto"/>
            <w:tcBorders>
              <w:top w:val="nil"/>
              <w:left w:val="nil"/>
              <w:bottom w:val="single" w:color="000000" w:sz="8" w:space="0"/>
              <w:right w:val="single" w:color="000000" w:sz="8" w:space="0"/>
            </w:tcBorders>
            <w:shd w:val="clear" w:color="auto" w:fill="auto"/>
            <w:noWrap/>
            <w:vAlign w:val="center"/>
          </w:tcPr>
          <w:p w14:paraId="09A32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源潭铺公司</w:t>
            </w:r>
          </w:p>
        </w:tc>
        <w:tc>
          <w:tcPr>
            <w:tcW w:w="0" w:type="auto"/>
            <w:tcBorders>
              <w:top w:val="nil"/>
              <w:left w:val="nil"/>
              <w:bottom w:val="single" w:color="000000" w:sz="8" w:space="0"/>
              <w:right w:val="single" w:color="000000" w:sz="8" w:space="0"/>
            </w:tcBorders>
            <w:shd w:val="clear" w:color="auto" w:fill="auto"/>
            <w:noWrap/>
            <w:vAlign w:val="center"/>
          </w:tcPr>
          <w:p w14:paraId="57CB4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源潭铺村基地</w:t>
            </w:r>
          </w:p>
        </w:tc>
        <w:tc>
          <w:tcPr>
            <w:tcW w:w="0" w:type="auto"/>
            <w:tcBorders>
              <w:top w:val="nil"/>
              <w:left w:val="nil"/>
              <w:bottom w:val="single" w:color="000000" w:sz="8" w:space="0"/>
              <w:right w:val="single" w:color="000000" w:sz="8" w:space="0"/>
            </w:tcBorders>
            <w:shd w:val="clear" w:color="auto" w:fill="auto"/>
            <w:noWrap/>
            <w:vAlign w:val="center"/>
          </w:tcPr>
          <w:p w14:paraId="3A405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7170C053">
            <w:pPr>
              <w:jc w:val="center"/>
              <w:rPr>
                <w:rFonts w:hint="eastAsia" w:ascii="宋体" w:hAnsi="宋体" w:eastAsia="宋体" w:cs="宋体"/>
                <w:b/>
                <w:bCs/>
                <w:i w:val="0"/>
                <w:iCs w:val="0"/>
                <w:color w:val="000000"/>
                <w:sz w:val="22"/>
                <w:szCs w:val="22"/>
                <w:u w:val="none"/>
              </w:rPr>
            </w:pPr>
          </w:p>
        </w:tc>
      </w:tr>
      <w:tr w14:paraId="6B4D8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F0C5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8" w:space="0"/>
              <w:right w:val="single" w:color="000000" w:sz="8" w:space="0"/>
            </w:tcBorders>
            <w:shd w:val="clear" w:color="auto" w:fill="auto"/>
            <w:noWrap/>
            <w:vAlign w:val="center"/>
          </w:tcPr>
          <w:p w14:paraId="77C94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月山镇</w:t>
            </w:r>
          </w:p>
        </w:tc>
        <w:tc>
          <w:tcPr>
            <w:tcW w:w="0" w:type="auto"/>
            <w:tcBorders>
              <w:top w:val="nil"/>
              <w:left w:val="nil"/>
              <w:bottom w:val="single" w:color="000000" w:sz="8" w:space="0"/>
              <w:right w:val="single" w:color="000000" w:sz="8" w:space="0"/>
            </w:tcBorders>
            <w:shd w:val="clear" w:color="auto" w:fill="auto"/>
            <w:noWrap/>
            <w:vAlign w:val="center"/>
          </w:tcPr>
          <w:p w14:paraId="737B1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0" w:type="auto"/>
            <w:tcBorders>
              <w:top w:val="nil"/>
              <w:left w:val="nil"/>
              <w:bottom w:val="single" w:color="000000" w:sz="8" w:space="0"/>
              <w:right w:val="single" w:color="000000" w:sz="8" w:space="0"/>
            </w:tcBorders>
            <w:shd w:val="clear" w:color="auto" w:fill="auto"/>
            <w:noWrap/>
            <w:vAlign w:val="center"/>
          </w:tcPr>
          <w:p w14:paraId="79C67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奇隆村基地</w:t>
            </w:r>
          </w:p>
        </w:tc>
        <w:tc>
          <w:tcPr>
            <w:tcW w:w="0" w:type="auto"/>
            <w:tcBorders>
              <w:top w:val="nil"/>
              <w:left w:val="nil"/>
              <w:bottom w:val="single" w:color="000000" w:sz="8" w:space="0"/>
              <w:right w:val="single" w:color="000000" w:sz="8" w:space="0"/>
            </w:tcBorders>
            <w:shd w:val="clear" w:color="auto" w:fill="auto"/>
            <w:noWrap/>
            <w:vAlign w:val="center"/>
          </w:tcPr>
          <w:p w14:paraId="27BF1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17571206">
            <w:pPr>
              <w:jc w:val="center"/>
              <w:rPr>
                <w:rFonts w:hint="eastAsia" w:ascii="宋体" w:hAnsi="宋体" w:eastAsia="宋体" w:cs="宋体"/>
                <w:b/>
                <w:bCs/>
                <w:i w:val="0"/>
                <w:iCs w:val="0"/>
                <w:color w:val="000000"/>
                <w:sz w:val="22"/>
                <w:szCs w:val="22"/>
                <w:u w:val="none"/>
              </w:rPr>
            </w:pPr>
          </w:p>
        </w:tc>
      </w:tr>
      <w:tr w14:paraId="334A8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FA19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8" w:space="0"/>
              <w:right w:val="single" w:color="000000" w:sz="8" w:space="0"/>
            </w:tcBorders>
            <w:shd w:val="clear" w:color="auto" w:fill="auto"/>
            <w:noWrap/>
            <w:vAlign w:val="center"/>
          </w:tcPr>
          <w:p w14:paraId="55D6A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江镇镇</w:t>
            </w:r>
          </w:p>
        </w:tc>
        <w:tc>
          <w:tcPr>
            <w:tcW w:w="0" w:type="auto"/>
            <w:tcBorders>
              <w:top w:val="nil"/>
              <w:left w:val="nil"/>
              <w:bottom w:val="single" w:color="000000" w:sz="8" w:space="0"/>
              <w:right w:val="single" w:color="000000" w:sz="8" w:space="0"/>
            </w:tcBorders>
            <w:shd w:val="clear" w:color="auto" w:fill="auto"/>
            <w:noWrap/>
            <w:vAlign w:val="center"/>
          </w:tcPr>
          <w:p w14:paraId="42E23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0" w:type="auto"/>
            <w:tcBorders>
              <w:top w:val="nil"/>
              <w:left w:val="nil"/>
              <w:bottom w:val="single" w:color="000000" w:sz="8" w:space="0"/>
              <w:right w:val="single" w:color="000000" w:sz="8" w:space="0"/>
            </w:tcBorders>
            <w:shd w:val="clear" w:color="auto" w:fill="auto"/>
            <w:noWrap/>
            <w:vAlign w:val="center"/>
          </w:tcPr>
          <w:p w14:paraId="6BA73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日新村基地</w:t>
            </w:r>
          </w:p>
        </w:tc>
        <w:tc>
          <w:tcPr>
            <w:tcW w:w="0" w:type="auto"/>
            <w:tcBorders>
              <w:top w:val="nil"/>
              <w:left w:val="nil"/>
              <w:bottom w:val="single" w:color="000000" w:sz="8" w:space="0"/>
              <w:right w:val="single" w:color="000000" w:sz="8" w:space="0"/>
            </w:tcBorders>
            <w:shd w:val="clear" w:color="auto" w:fill="auto"/>
            <w:noWrap/>
            <w:vAlign w:val="center"/>
          </w:tcPr>
          <w:p w14:paraId="7BD2D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542" w:type="dxa"/>
            <w:tcBorders>
              <w:top w:val="single" w:color="000000" w:sz="8" w:space="0"/>
              <w:left w:val="nil"/>
              <w:bottom w:val="single" w:color="000000" w:sz="8" w:space="0"/>
              <w:right w:val="single" w:color="000000" w:sz="8" w:space="0"/>
            </w:tcBorders>
            <w:shd w:val="clear" w:color="auto" w:fill="auto"/>
            <w:vAlign w:val="center"/>
          </w:tcPr>
          <w:p w14:paraId="084F63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接入原有泵房，另设计一条调水道</w:t>
            </w:r>
          </w:p>
        </w:tc>
      </w:tr>
      <w:tr w14:paraId="5902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BCDD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8" w:space="0"/>
              <w:right w:val="single" w:color="000000" w:sz="8" w:space="0"/>
            </w:tcBorders>
            <w:shd w:val="clear" w:color="auto" w:fill="auto"/>
            <w:noWrap/>
            <w:vAlign w:val="center"/>
          </w:tcPr>
          <w:p w14:paraId="0A117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洪铺镇</w:t>
            </w:r>
          </w:p>
        </w:tc>
        <w:tc>
          <w:tcPr>
            <w:tcW w:w="0" w:type="auto"/>
            <w:tcBorders>
              <w:top w:val="nil"/>
              <w:left w:val="nil"/>
              <w:bottom w:val="single" w:color="000000" w:sz="8" w:space="0"/>
              <w:right w:val="single" w:color="000000" w:sz="8" w:space="0"/>
            </w:tcBorders>
            <w:shd w:val="clear" w:color="auto" w:fill="auto"/>
            <w:noWrap/>
            <w:vAlign w:val="center"/>
          </w:tcPr>
          <w:p w14:paraId="77160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0" w:type="auto"/>
            <w:tcBorders>
              <w:top w:val="nil"/>
              <w:left w:val="nil"/>
              <w:bottom w:val="single" w:color="000000" w:sz="8" w:space="0"/>
              <w:right w:val="single" w:color="000000" w:sz="8" w:space="0"/>
            </w:tcBorders>
            <w:shd w:val="clear" w:color="auto" w:fill="auto"/>
            <w:noWrap/>
            <w:vAlign w:val="center"/>
          </w:tcPr>
          <w:p w14:paraId="4B0C3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新岗村基地1</w:t>
            </w:r>
          </w:p>
        </w:tc>
        <w:tc>
          <w:tcPr>
            <w:tcW w:w="0" w:type="auto"/>
            <w:tcBorders>
              <w:top w:val="nil"/>
              <w:left w:val="nil"/>
              <w:bottom w:val="single" w:color="000000" w:sz="8" w:space="0"/>
              <w:right w:val="single" w:color="000000" w:sz="8" w:space="0"/>
            </w:tcBorders>
            <w:shd w:val="clear" w:color="auto" w:fill="auto"/>
            <w:noWrap/>
            <w:vAlign w:val="center"/>
          </w:tcPr>
          <w:p w14:paraId="7BFD7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33D40BE5">
            <w:pPr>
              <w:jc w:val="center"/>
              <w:rPr>
                <w:rFonts w:hint="eastAsia" w:ascii="宋体" w:hAnsi="宋体" w:eastAsia="宋体" w:cs="宋体"/>
                <w:b/>
                <w:bCs/>
                <w:i w:val="0"/>
                <w:iCs w:val="0"/>
                <w:color w:val="000000"/>
                <w:sz w:val="22"/>
                <w:szCs w:val="22"/>
                <w:u w:val="none"/>
              </w:rPr>
            </w:pPr>
          </w:p>
        </w:tc>
      </w:tr>
      <w:tr w14:paraId="5E041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94D5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80" w:type="dxa"/>
            <w:vMerge w:val="restart"/>
            <w:tcBorders>
              <w:top w:val="nil"/>
              <w:left w:val="nil"/>
              <w:right w:val="single" w:color="000000" w:sz="8" w:space="0"/>
            </w:tcBorders>
            <w:shd w:val="clear" w:color="auto" w:fill="auto"/>
            <w:noWrap/>
            <w:vAlign w:val="center"/>
          </w:tcPr>
          <w:p w14:paraId="50721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腊树镇</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24211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0" w:type="auto"/>
            <w:tcBorders>
              <w:top w:val="nil"/>
              <w:left w:val="nil"/>
              <w:bottom w:val="single" w:color="000000" w:sz="8" w:space="0"/>
              <w:right w:val="single" w:color="000000" w:sz="8" w:space="0"/>
            </w:tcBorders>
            <w:shd w:val="clear" w:color="auto" w:fill="auto"/>
            <w:noWrap/>
            <w:vAlign w:val="center"/>
          </w:tcPr>
          <w:p w14:paraId="6143E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芝岭村基地1</w:t>
            </w:r>
          </w:p>
        </w:tc>
        <w:tc>
          <w:tcPr>
            <w:tcW w:w="0" w:type="auto"/>
            <w:tcBorders>
              <w:top w:val="nil"/>
              <w:left w:val="nil"/>
              <w:bottom w:val="single" w:color="000000" w:sz="8" w:space="0"/>
              <w:right w:val="single" w:color="000000" w:sz="8" w:space="0"/>
            </w:tcBorders>
            <w:shd w:val="clear" w:color="auto" w:fill="auto"/>
            <w:noWrap/>
            <w:vAlign w:val="center"/>
          </w:tcPr>
          <w:p w14:paraId="156CF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374E4C42">
            <w:pPr>
              <w:jc w:val="center"/>
              <w:rPr>
                <w:rFonts w:hint="eastAsia" w:ascii="宋体" w:hAnsi="宋体" w:eastAsia="宋体" w:cs="宋体"/>
                <w:b/>
                <w:bCs/>
                <w:i w:val="0"/>
                <w:iCs w:val="0"/>
                <w:color w:val="000000"/>
                <w:sz w:val="22"/>
                <w:szCs w:val="22"/>
                <w:u w:val="none"/>
              </w:rPr>
            </w:pPr>
          </w:p>
        </w:tc>
      </w:tr>
      <w:tr w14:paraId="1F3C2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DBA7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80" w:type="dxa"/>
            <w:vMerge w:val="continue"/>
            <w:tcBorders>
              <w:left w:val="nil"/>
              <w:right w:val="single" w:color="000000" w:sz="8" w:space="0"/>
            </w:tcBorders>
            <w:shd w:val="clear" w:color="auto" w:fill="auto"/>
            <w:noWrap/>
            <w:vAlign w:val="center"/>
          </w:tcPr>
          <w:p w14:paraId="60BDF69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3A6E007">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62FF1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芝岭村基地2</w:t>
            </w:r>
          </w:p>
        </w:tc>
        <w:tc>
          <w:tcPr>
            <w:tcW w:w="0" w:type="auto"/>
            <w:tcBorders>
              <w:top w:val="nil"/>
              <w:left w:val="nil"/>
              <w:bottom w:val="single" w:color="000000" w:sz="8" w:space="0"/>
              <w:right w:val="single" w:color="000000" w:sz="8" w:space="0"/>
            </w:tcBorders>
            <w:shd w:val="clear" w:color="auto" w:fill="auto"/>
            <w:noWrap/>
            <w:vAlign w:val="center"/>
          </w:tcPr>
          <w:p w14:paraId="0EAD7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71006385">
            <w:pPr>
              <w:jc w:val="center"/>
              <w:rPr>
                <w:rFonts w:hint="eastAsia" w:ascii="宋体" w:hAnsi="宋体" w:eastAsia="宋体" w:cs="宋体"/>
                <w:b/>
                <w:bCs/>
                <w:i w:val="0"/>
                <w:iCs w:val="0"/>
                <w:color w:val="000000"/>
                <w:sz w:val="22"/>
                <w:szCs w:val="22"/>
                <w:u w:val="none"/>
              </w:rPr>
            </w:pPr>
          </w:p>
        </w:tc>
      </w:tr>
      <w:tr w14:paraId="100E8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EDC5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80" w:type="dxa"/>
            <w:vMerge w:val="continue"/>
            <w:tcBorders>
              <w:left w:val="nil"/>
              <w:right w:val="single" w:color="000000" w:sz="8" w:space="0"/>
            </w:tcBorders>
            <w:shd w:val="clear" w:color="auto" w:fill="auto"/>
            <w:noWrap/>
            <w:vAlign w:val="center"/>
          </w:tcPr>
          <w:p w14:paraId="2531D032">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2D251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秋水公司</w:t>
            </w:r>
          </w:p>
        </w:tc>
        <w:tc>
          <w:tcPr>
            <w:tcW w:w="0" w:type="auto"/>
            <w:tcBorders>
              <w:top w:val="nil"/>
              <w:left w:val="nil"/>
              <w:bottom w:val="single" w:color="000000" w:sz="8" w:space="0"/>
              <w:right w:val="single" w:color="000000" w:sz="8" w:space="0"/>
            </w:tcBorders>
            <w:shd w:val="clear" w:color="auto" w:fill="auto"/>
            <w:noWrap/>
            <w:vAlign w:val="center"/>
          </w:tcPr>
          <w:p w14:paraId="09F96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高旗村基地</w:t>
            </w:r>
          </w:p>
        </w:tc>
        <w:tc>
          <w:tcPr>
            <w:tcW w:w="0" w:type="auto"/>
            <w:tcBorders>
              <w:top w:val="nil"/>
              <w:left w:val="nil"/>
              <w:bottom w:val="single" w:color="000000" w:sz="8" w:space="0"/>
              <w:right w:val="single" w:color="000000" w:sz="8" w:space="0"/>
            </w:tcBorders>
            <w:shd w:val="clear" w:color="auto" w:fill="auto"/>
            <w:noWrap/>
            <w:vAlign w:val="center"/>
          </w:tcPr>
          <w:p w14:paraId="5D7DD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6F279D2D">
            <w:pPr>
              <w:jc w:val="center"/>
              <w:rPr>
                <w:rFonts w:hint="eastAsia" w:ascii="宋体" w:hAnsi="宋体" w:eastAsia="宋体" w:cs="宋体"/>
                <w:b/>
                <w:bCs/>
                <w:i w:val="0"/>
                <w:iCs w:val="0"/>
                <w:color w:val="000000"/>
                <w:sz w:val="22"/>
                <w:szCs w:val="22"/>
                <w:u w:val="none"/>
              </w:rPr>
            </w:pPr>
          </w:p>
        </w:tc>
      </w:tr>
      <w:tr w14:paraId="12EAB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731B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80" w:type="dxa"/>
            <w:vMerge w:val="continue"/>
            <w:tcBorders>
              <w:left w:val="nil"/>
              <w:right w:val="single" w:color="000000" w:sz="8" w:space="0"/>
            </w:tcBorders>
            <w:shd w:val="clear" w:color="auto" w:fill="auto"/>
            <w:noWrap/>
            <w:vAlign w:val="center"/>
          </w:tcPr>
          <w:p w14:paraId="2F3F48A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1462B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天仙湾公司</w:t>
            </w:r>
          </w:p>
        </w:tc>
        <w:tc>
          <w:tcPr>
            <w:tcW w:w="0" w:type="auto"/>
            <w:tcBorders>
              <w:top w:val="nil"/>
              <w:left w:val="nil"/>
              <w:bottom w:val="single" w:color="000000" w:sz="8" w:space="0"/>
              <w:right w:val="single" w:color="000000" w:sz="8" w:space="0"/>
            </w:tcBorders>
            <w:shd w:val="clear" w:color="auto" w:fill="auto"/>
            <w:noWrap/>
            <w:vAlign w:val="center"/>
          </w:tcPr>
          <w:p w14:paraId="799BD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安山村基地</w:t>
            </w:r>
          </w:p>
        </w:tc>
        <w:tc>
          <w:tcPr>
            <w:tcW w:w="0" w:type="auto"/>
            <w:tcBorders>
              <w:top w:val="nil"/>
              <w:left w:val="nil"/>
              <w:bottom w:val="single" w:color="000000" w:sz="8" w:space="0"/>
              <w:right w:val="single" w:color="000000" w:sz="8" w:space="0"/>
            </w:tcBorders>
            <w:shd w:val="clear" w:color="auto" w:fill="auto"/>
            <w:noWrap/>
            <w:vAlign w:val="center"/>
          </w:tcPr>
          <w:p w14:paraId="5D930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5BEE9A2F">
            <w:pPr>
              <w:jc w:val="center"/>
              <w:rPr>
                <w:rFonts w:hint="eastAsia" w:ascii="宋体" w:hAnsi="宋体" w:eastAsia="宋体" w:cs="宋体"/>
                <w:b/>
                <w:bCs/>
                <w:i w:val="0"/>
                <w:iCs w:val="0"/>
                <w:color w:val="000000"/>
                <w:sz w:val="22"/>
                <w:szCs w:val="22"/>
                <w:u w:val="none"/>
              </w:rPr>
            </w:pPr>
          </w:p>
        </w:tc>
      </w:tr>
      <w:tr w14:paraId="3581F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5CF4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080" w:type="dxa"/>
            <w:vMerge w:val="continue"/>
            <w:tcBorders>
              <w:left w:val="nil"/>
              <w:bottom w:val="single" w:color="000000" w:sz="8" w:space="0"/>
              <w:right w:val="single" w:color="000000" w:sz="8" w:space="0"/>
            </w:tcBorders>
            <w:shd w:val="clear" w:color="auto" w:fill="auto"/>
            <w:noWrap/>
            <w:vAlign w:val="center"/>
          </w:tcPr>
          <w:p w14:paraId="7DB4BFA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231F3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龙湖圩公司</w:t>
            </w:r>
          </w:p>
        </w:tc>
        <w:tc>
          <w:tcPr>
            <w:tcW w:w="0" w:type="auto"/>
            <w:tcBorders>
              <w:top w:val="nil"/>
              <w:left w:val="nil"/>
              <w:bottom w:val="single" w:color="000000" w:sz="8" w:space="0"/>
              <w:right w:val="single" w:color="000000" w:sz="8" w:space="0"/>
            </w:tcBorders>
            <w:shd w:val="clear" w:color="auto" w:fill="auto"/>
            <w:noWrap/>
            <w:vAlign w:val="center"/>
          </w:tcPr>
          <w:p w14:paraId="43819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白石村基地</w:t>
            </w:r>
          </w:p>
        </w:tc>
        <w:tc>
          <w:tcPr>
            <w:tcW w:w="0" w:type="auto"/>
            <w:tcBorders>
              <w:top w:val="nil"/>
              <w:left w:val="nil"/>
              <w:bottom w:val="single" w:color="000000" w:sz="8" w:space="0"/>
              <w:right w:val="single" w:color="000000" w:sz="8" w:space="0"/>
            </w:tcBorders>
            <w:shd w:val="clear" w:color="auto" w:fill="auto"/>
            <w:noWrap/>
            <w:vAlign w:val="center"/>
          </w:tcPr>
          <w:p w14:paraId="7C975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5515A495">
            <w:pPr>
              <w:jc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接入原有泵房</w:t>
            </w:r>
          </w:p>
        </w:tc>
      </w:tr>
      <w:tr w14:paraId="65FF8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A07AA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8" w:space="0"/>
              <w:right w:val="single" w:color="000000" w:sz="8" w:space="0"/>
            </w:tcBorders>
            <w:shd w:val="clear" w:color="auto" w:fill="auto"/>
            <w:noWrap/>
            <w:vAlign w:val="center"/>
          </w:tcPr>
          <w:p w14:paraId="441CB468">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4EE795AC">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19291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0E5DF7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1619</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14:paraId="7A88B7DE">
            <w:pPr>
              <w:jc w:val="center"/>
              <w:rPr>
                <w:rFonts w:hint="eastAsia" w:ascii="宋体" w:hAnsi="宋体" w:eastAsia="宋体" w:cs="宋体"/>
                <w:b/>
                <w:bCs/>
                <w:i w:val="0"/>
                <w:iCs w:val="0"/>
                <w:color w:val="000000"/>
                <w:sz w:val="22"/>
                <w:szCs w:val="22"/>
                <w:u w:val="none"/>
              </w:rPr>
            </w:pPr>
          </w:p>
        </w:tc>
      </w:tr>
    </w:tbl>
    <w:p w14:paraId="5B390CEF">
      <w:pPr>
        <w:rPr>
          <w:rFonts w:hint="eastAsia" w:ascii="宋体" w:hAnsi="宋体" w:cs="宋体"/>
          <w:b/>
          <w:bCs/>
          <w:color w:val="000000"/>
          <w:sz w:val="24"/>
          <w:szCs w:val="24"/>
        </w:rPr>
      </w:pP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二</w:t>
      </w:r>
      <w:r>
        <w:rPr>
          <w:rFonts w:hint="eastAsia" w:ascii="宋体" w:hAnsi="宋体" w:cs="宋体"/>
          <w:b/>
          <w:bCs/>
          <w:color w:val="000000"/>
          <w:sz w:val="24"/>
          <w:szCs w:val="24"/>
          <w:lang w:eastAsia="zh-CN"/>
        </w:rPr>
        <w:t>）</w:t>
      </w:r>
      <w:r>
        <w:rPr>
          <w:rFonts w:hint="eastAsia" w:ascii="宋体" w:hAnsi="宋体" w:cs="宋体"/>
          <w:b/>
          <w:bCs/>
          <w:color w:val="000000"/>
          <w:sz w:val="24"/>
          <w:szCs w:val="24"/>
        </w:rPr>
        <w:t>规范性引用文件</w:t>
      </w:r>
    </w:p>
    <w:p w14:paraId="2086BA3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2A8C86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10002·1-2023 给水用硬聚氯乙烯（PVC-U）管材</w:t>
      </w:r>
    </w:p>
    <w:p w14:paraId="2A08374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13664-2023 低压灌溉用硬聚氯乙烯（PVC-U）管材</w:t>
      </w:r>
    </w:p>
    <w:p w14:paraId="1CF1ED0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13663.1-2017  给水用聚乙烯（PE）管道系统 第1部分：总则</w:t>
      </w:r>
    </w:p>
    <w:p w14:paraId="732D26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13663.2-2018 给水用聚乙烯（PE）管道系统 第2部分：管材</w:t>
      </w:r>
    </w:p>
    <w:p w14:paraId="6E0E82B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13663.3-2018  给水用聚乙烯（PE）管道系统 第3部分：管件</w:t>
      </w:r>
    </w:p>
    <w:p w14:paraId="4A2E31C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13663.5-2018  给水用聚乙烯（PE）管道系统 第5部分：系统适用性</w:t>
      </w:r>
    </w:p>
    <w:p w14:paraId="1C0DC7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18690.2-2017 农业灌溉设备 微灌用过滤器 第2部分：网式过滤器和叠片式过滤器</w:t>
      </w:r>
    </w:p>
    <w:p w14:paraId="4600EB9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18690.4-2023 农业灌溉设备 微灌用过滤器 第4部分：颗粒介质过滤器GB/T 18691.1-2021  农业灌溉设备 灌溉阀 第1部分：通用要求</w:t>
      </w:r>
    </w:p>
    <w:p w14:paraId="7280954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18691.2-2021  农业灌溉设备 灌溉阀 第2部分：隔离阀</w:t>
      </w:r>
    </w:p>
    <w:p w14:paraId="3921FF8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18691.3-2021  农业灌溉设备 灌溉阀 第3部分：止回阀</w:t>
      </w:r>
    </w:p>
    <w:p w14:paraId="3D3BF8C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18691.4-2021  农业灌溉设备 灌溉阀 第4部分：进排气阀</w:t>
      </w:r>
    </w:p>
    <w:p w14:paraId="5AD3469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18691.5-2021  农业灌溉设备 灌溉阀 第5部分：控制阀</w:t>
      </w:r>
    </w:p>
    <w:p w14:paraId="54708BA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18025-2000  农业灌溉设备 电动或电控灌溉机械的电气设备和布线</w:t>
      </w:r>
    </w:p>
    <w:p w14:paraId="233957F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19812.1-2017  塑料节水灌溉器材 第1部分：单翼迷宫式滴灌带</w:t>
      </w:r>
    </w:p>
    <w:p w14:paraId="1DBC1D3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19812.2-2017  塑料节水灌溉器材 第2部分：压力补偿式滴头及滴灌管</w:t>
      </w:r>
    </w:p>
    <w:p w14:paraId="441D4E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19812.3-2017  塑料节水灌溉器材 第3部分：内镶式滴灌管及滴灌带</w:t>
      </w:r>
    </w:p>
    <w:p w14:paraId="19EAE60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19812.4-2018  塑料节水灌溉器材 第4部分: 聚乙烯（PE）软管</w:t>
      </w:r>
    </w:p>
    <w:p w14:paraId="21FD86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19812.5-2019  塑料节水灌溉器材 第5部分：地埋式滴灌管</w:t>
      </w:r>
    </w:p>
    <w:p w14:paraId="307E957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19812.6-2022 塑料节水灌溉器材 第6部分：输水用聚乙烯（PE）管材</w:t>
      </w:r>
    </w:p>
    <w:p w14:paraId="481C27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GB/T 19812.7-2024  塑料节水灌溉器材 第7部分：微灌用塑料阀门</w:t>
      </w:r>
    </w:p>
    <w:p w14:paraId="674B733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三</w:t>
      </w:r>
      <w:r>
        <w:rPr>
          <w:rFonts w:hint="eastAsia" w:ascii="宋体" w:hAnsi="宋体" w:cs="宋体"/>
          <w:b/>
          <w:bCs/>
          <w:color w:val="000000"/>
          <w:sz w:val="24"/>
          <w:szCs w:val="24"/>
          <w:lang w:eastAsia="zh-CN"/>
        </w:rPr>
        <w:t>）</w:t>
      </w:r>
      <w:r>
        <w:rPr>
          <w:rFonts w:hint="eastAsia" w:ascii="宋体" w:hAnsi="宋体" w:cs="宋体"/>
          <w:b/>
          <w:bCs/>
          <w:color w:val="000000"/>
          <w:sz w:val="24"/>
          <w:szCs w:val="24"/>
        </w:rPr>
        <w:t>基本技术要求</w:t>
      </w:r>
    </w:p>
    <w:p w14:paraId="3B9BEF9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1、首部加压系统</w:t>
      </w:r>
    </w:p>
    <w:p w14:paraId="134AFC9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首部加压依据水源不同采取不同的加压水泵。对于池塘，采用管道离心泵或者是潜水泵进行加压；对于水库等不易安装潜水泵的水源采用浮筒式水泵进行加压。</w:t>
      </w:r>
    </w:p>
    <w:p w14:paraId="5B1FD18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首部所用的水泵控制方式依据水泵用途划分成工频控制和变频控制，灌溉水泵采用变频恒压控制，提水水泵采用工频控制。</w:t>
      </w:r>
    </w:p>
    <w:p w14:paraId="0EAAA53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泵房自水塘的进水口须采用浮筒式进水口，以保证进水水质。</w:t>
      </w:r>
    </w:p>
    <w:p w14:paraId="290487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2、过滤系统</w:t>
      </w:r>
    </w:p>
    <w:p w14:paraId="542E597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为了防止因为水质的原因而堵塞灌水器，首部需配备过滤系统，河水、水库水源统一采用手动反冲洗砂石过滤器和手动反冲洗叠片过滤器，示范区</w:t>
      </w:r>
      <w:r>
        <w:rPr>
          <w:rFonts w:hint="eastAsia" w:ascii="宋体" w:hAnsi="宋体" w:cs="宋体"/>
          <w:color w:val="auto"/>
          <w:sz w:val="24"/>
          <w:szCs w:val="24"/>
          <w:lang w:eastAsia="zh-CN"/>
        </w:rPr>
        <w:t>（</w:t>
      </w:r>
      <w:r>
        <w:rPr>
          <w:rFonts w:hint="eastAsia" w:ascii="宋体" w:hAnsi="宋体" w:cs="宋体"/>
          <w:b/>
          <w:bCs/>
          <w:color w:val="auto"/>
          <w:sz w:val="24"/>
          <w:szCs w:val="24"/>
          <w:lang w:val="en-US" w:eastAsia="zh-CN"/>
        </w:rPr>
        <w:t>秀山乡蒋楼基地1作为示范区</w:t>
      </w:r>
      <w:r>
        <w:rPr>
          <w:rFonts w:hint="eastAsia" w:ascii="宋体" w:hAnsi="宋体" w:cs="宋体"/>
          <w:color w:val="auto"/>
          <w:sz w:val="24"/>
          <w:szCs w:val="24"/>
          <w:lang w:eastAsia="zh-CN"/>
        </w:rPr>
        <w:t>）</w:t>
      </w:r>
      <w:r>
        <w:rPr>
          <w:rFonts w:hint="eastAsia" w:ascii="宋体" w:hAnsi="宋体" w:eastAsia="宋体" w:cs="宋体"/>
          <w:color w:val="auto"/>
          <w:sz w:val="24"/>
          <w:szCs w:val="24"/>
        </w:rPr>
        <w:t>采用自动反冲洗砂石过滤器和自动反冲洗叠片过滤器。</w:t>
      </w:r>
    </w:p>
    <w:p w14:paraId="767D5B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3、施肥系统</w:t>
      </w:r>
    </w:p>
    <w:p w14:paraId="1AB0FC4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施肥设备全部采用水肥一体机，带触屏控制，可设置施肥量，定时控制、定量控制。每台水肥一体机配套一个1000L锥型底肥料桶，并安装搅拌机。示范区采用智能水肥一体机。</w:t>
      </w:r>
      <w:r>
        <w:rPr>
          <w:rFonts w:hint="eastAsia" w:ascii="宋体" w:hAnsi="宋体" w:cs="宋体"/>
          <w:color w:val="000000"/>
          <w:sz w:val="24"/>
          <w:szCs w:val="24"/>
          <w:lang w:val="en-US" w:eastAsia="zh-CN"/>
        </w:rPr>
        <w:t>施肥桶</w:t>
      </w:r>
      <w:r>
        <w:rPr>
          <w:rFonts w:hint="eastAsia" w:ascii="宋体" w:hAnsi="宋体" w:cs="宋体"/>
          <w:color w:val="000000"/>
          <w:sz w:val="24"/>
          <w:szCs w:val="24"/>
          <w:highlight w:val="none"/>
          <w:lang w:val="en-US" w:eastAsia="zh-CN"/>
        </w:rPr>
        <w:t>处应提供简易取水设施。</w:t>
      </w:r>
    </w:p>
    <w:p w14:paraId="41923E4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4、管网</w:t>
      </w:r>
    </w:p>
    <w:p w14:paraId="62A29FE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管网需满足供水需求，主管支管均采用地埋安装，</w:t>
      </w:r>
      <w:r>
        <w:rPr>
          <w:rFonts w:hint="eastAsia" w:ascii="宋体" w:hAnsi="宋体" w:eastAsia="宋体" w:cs="宋体"/>
          <w:b/>
          <w:bCs/>
          <w:color w:val="000000"/>
          <w:sz w:val="24"/>
          <w:szCs w:val="24"/>
        </w:rPr>
        <w:t>主管道De63及以上管道埋深不低于45cm，De63以下管道埋深不低于20cm。</w:t>
      </w:r>
      <w:r>
        <w:rPr>
          <w:rFonts w:hint="eastAsia" w:ascii="宋体" w:hAnsi="宋体" w:eastAsia="宋体" w:cs="宋体"/>
          <w:color w:val="000000"/>
          <w:sz w:val="24"/>
          <w:szCs w:val="24"/>
        </w:rPr>
        <w:t>当面积在250亩以内时可采用De90PE管道作为主管道，超过250亩时需采用De110PE以上管道作为主管道，主管道承压不低于0.8MPa，主管路须安装空气阀。管道穿主干道需采用钢管作为保护套管。</w:t>
      </w:r>
    </w:p>
    <w:p w14:paraId="5594A89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支管采用PE盘管，管道需满足供水承压要求，最低承压不得低于0.6MPa。</w:t>
      </w:r>
    </w:p>
    <w:p w14:paraId="5BDC53F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为方便日常管理和控制，根据现场地形，阀门尽量集中布置，每16亩左右设置一个轮灌区，安装一个总控阀门，轮灌阀门安装阀门箱保护，并安装阀门指示牌，便于园区管护使用。</w:t>
      </w:r>
    </w:p>
    <w:p w14:paraId="68856CB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5、灌水器</w:t>
      </w:r>
    </w:p>
    <w:p w14:paraId="201536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为保证灌溉均匀性，当地形落差高于30m时，采用压力补偿式滴灌带，平地采用常规内镶贴片式滴灌带。所有滴灌带壁厚不得低于0.4mm。</w:t>
      </w:r>
    </w:p>
    <w:p w14:paraId="2ECD4C2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压力补偿式滴灌带，防滴漏型，直径16mm，间距45cm，流量1.35L/h，压力补偿范围：0.05-0.4Mpa。</w:t>
      </w:r>
    </w:p>
    <w:p w14:paraId="038429D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压力补偿滴灌带允许采用进口产品，进口产品必须具有国外生产商合法有效授权书、海关进口货物报关单及权威检测机构检测报告。</w:t>
      </w:r>
    </w:p>
    <w:p w14:paraId="0688EB6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内镶贴片式滴灌带，直径16mm，间距45cm，流量1.38L/h。</w:t>
      </w:r>
    </w:p>
    <w:p w14:paraId="0545E0A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滴灌带须配备固定卡扣3米/个，卡扣长度不低于20cm。</w:t>
      </w:r>
    </w:p>
    <w:p w14:paraId="3E32F0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6、控制系统</w:t>
      </w:r>
    </w:p>
    <w:p w14:paraId="40ACBE7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园区供水阀门采用手动阀门控制，示范区采用电磁阀自动控制，采用无线传输的方式。</w:t>
      </w:r>
    </w:p>
    <w:p w14:paraId="55A383E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园区供水阀门须满足园区管理需求，操作简单便捷，省时省工。</w:t>
      </w:r>
    </w:p>
    <w:p w14:paraId="25F2FC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7、泵房</w:t>
      </w:r>
    </w:p>
    <w:p w14:paraId="3BBE96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对于首部流量为50m³/h的泵房，至少需要提供不小于28m2的彩钢板泵房。对于首部流量为30m³/h的泵房，至少需要提供不小于20m2的彩钢板泵房。</w:t>
      </w:r>
    </w:p>
    <w:p w14:paraId="36B3180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8、蓄水桶</w:t>
      </w:r>
    </w:p>
    <w:p w14:paraId="5260102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highlight w:val="red"/>
          <w:lang w:val="en-US" w:eastAsia="zh-CN"/>
        </w:rPr>
      </w:pPr>
      <w:r>
        <w:rPr>
          <w:rFonts w:hint="eastAsia" w:ascii="宋体" w:hAnsi="宋体" w:eastAsia="宋体" w:cs="宋体"/>
          <w:color w:val="000000"/>
          <w:sz w:val="24"/>
          <w:szCs w:val="24"/>
        </w:rPr>
        <w:t>对于部分高差较大，不方便直接采用离心泵或者潜水泵直接灌溉的基地，在泵房位置附近安装蓄水桶。蓄水桶采用钢制拼装式衬膜蓄水桶。</w:t>
      </w:r>
    </w:p>
    <w:p w14:paraId="6FB2436B">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四</w:t>
      </w:r>
      <w:r>
        <w:rPr>
          <w:rFonts w:hint="eastAsia" w:ascii="宋体" w:hAnsi="宋体" w:cs="宋体"/>
          <w:b/>
          <w:bCs/>
          <w:color w:val="000000"/>
          <w:sz w:val="24"/>
          <w:szCs w:val="24"/>
          <w:lang w:eastAsia="zh-CN"/>
        </w:rPr>
        <w:t>）</w:t>
      </w:r>
      <w:r>
        <w:rPr>
          <w:rFonts w:hint="eastAsia" w:ascii="宋体" w:hAnsi="宋体" w:cs="宋体"/>
          <w:b/>
          <w:bCs/>
          <w:color w:val="000000"/>
          <w:sz w:val="24"/>
          <w:szCs w:val="24"/>
        </w:rPr>
        <w:t>使用效果</w:t>
      </w:r>
    </w:p>
    <w:p w14:paraId="281A4ED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所采购水肥一体化设施应保证规范使用情况下管路不堵塞，确保园区内各个位置灌溉施肥均匀，系统可升级拓展自动化，确保每个园区8小时内灌溉完毕。</w:t>
      </w:r>
    </w:p>
    <w:p w14:paraId="0709355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bCs/>
          <w:color w:val="000000"/>
          <w:sz w:val="24"/>
          <w:szCs w:val="24"/>
          <w:lang w:val="en-US"/>
        </w:rPr>
      </w:pP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五</w:t>
      </w:r>
      <w:r>
        <w:rPr>
          <w:rFonts w:hint="eastAsia" w:ascii="宋体" w:hAnsi="宋体" w:cs="宋体"/>
          <w:b/>
          <w:bCs/>
          <w:color w:val="000000"/>
          <w:sz w:val="24"/>
          <w:szCs w:val="24"/>
          <w:lang w:eastAsia="zh-CN"/>
        </w:rPr>
        <w:t>）</w:t>
      </w:r>
      <w:r>
        <w:rPr>
          <w:rFonts w:hint="eastAsia" w:ascii="宋体" w:hAnsi="宋体" w:cs="宋体"/>
          <w:b/>
          <w:bCs/>
          <w:color w:val="000000"/>
          <w:sz w:val="24"/>
          <w:szCs w:val="24"/>
          <w:lang w:val="en-US" w:eastAsia="zh-CN"/>
        </w:rPr>
        <w:t>验收标准</w:t>
      </w:r>
    </w:p>
    <w:p w14:paraId="10CD675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1、深化设计要求</w:t>
      </w:r>
    </w:p>
    <w:p w14:paraId="51DFF54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（1）应收集水源、气象、地形、道路、沟渠、土壤、作物、种植规划、定位、与发展规划等方面的基本资料。</w:t>
      </w:r>
    </w:p>
    <w:p w14:paraId="6544EE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（2）设计方案包括规划说明、各基地详细设备清单及工程布置图。设计说明应包括项目概况、建设内容、建议运行制度等基本内容。设备清单应包括主要设备和材料规格、型号、数量，明确其单价。</w:t>
      </w:r>
    </w:p>
    <w:p w14:paraId="5B81CA3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（3）布置图必需明确建设范围，现场道路、泵房等基础设施布局，首部枢纽区位，主输水管网布局，管控阀门布局，首部设备布局等基本要素。</w:t>
      </w:r>
    </w:p>
    <w:p w14:paraId="3633B26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（4）灌溉系统设计前，应根据现行国家标准的相关规定，结合规划要求和确定的灌水方式，合理确定相关技术参数。</w:t>
      </w:r>
    </w:p>
    <w:p w14:paraId="689DFB2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2、水源工程</w:t>
      </w:r>
    </w:p>
    <w:p w14:paraId="4F02332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（1）水源工程必须按年用水计划和作业计划规定的供水量和供水时间保证供水。</w:t>
      </w:r>
    </w:p>
    <w:p w14:paraId="5125A82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（2）以河流、渠道、水库、塘堰、机井等为水源的水源工程，应按有关规范的规定执行。</w:t>
      </w:r>
    </w:p>
    <w:p w14:paraId="49EDFE7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（3）水源工程应按有关工程技术规范进行设计。</w:t>
      </w:r>
    </w:p>
    <w:p w14:paraId="72514A7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（4）进入灌溉系统管网的水应经过净化处理，不应含有太多大粒泥沙、杂草、鱼卵、藻类等物质。</w:t>
      </w:r>
    </w:p>
    <w:p w14:paraId="044FC39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3、首部枢纽</w:t>
      </w:r>
    </w:p>
    <w:p w14:paraId="1EDA01B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灌溉系统的首部枢纽包括水泵、控制设备、施肥药装置和过滤设施。其作用就是从水源取水加压，并加入肥料和农药，经净化处理，担负着整个灌溉系统的加压、供水（肥、药）、过滤、量测和调控任务。</w:t>
      </w:r>
    </w:p>
    <w:p w14:paraId="73BE9F9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首部系统位置应根据水源及灌溉地的相对位置定：</w:t>
      </w:r>
    </w:p>
    <w:p w14:paraId="78F3F30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（1）水源距灌溉地块较近时，首部枢纽布置在水源附近，以便管理。</w:t>
      </w:r>
    </w:p>
    <w:p w14:paraId="03167AA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（2）水源距灌溉地块距离较远时，首部枢纽就应布置在灌溉地附近易于管 理的位置。</w:t>
      </w:r>
    </w:p>
    <w:p w14:paraId="0D3C5C8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（3）首部枢纽应将加压、过滤、安全保护和量测控制设备等集中安装。</w:t>
      </w:r>
    </w:p>
    <w:p w14:paraId="1E2757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（4）用于人畜饮水管道应与灌溉供水管道分开，化肥和农药注入口应该配置过滤设备。</w:t>
      </w:r>
    </w:p>
    <w:p w14:paraId="32188F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（5）首部枢纽房屋应满足机电设备、过滤器、施肥装置等安装和操作要求。</w:t>
      </w:r>
    </w:p>
    <w:p w14:paraId="2222B2C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（6）清洗过滤器、化肥罐的废水未经处理，不得排入原水源中。</w:t>
      </w:r>
    </w:p>
    <w:p w14:paraId="2A9F8F0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4、水泵的选择</w:t>
      </w:r>
    </w:p>
    <w:p w14:paraId="776D9B7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（1）在设计扬程下，流量满足灌溉系统所需流量要求。</w:t>
      </w:r>
    </w:p>
    <w:p w14:paraId="742E5AE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（2）在长期运行过程中，水泵的工作效率要高，而且经常在最高效率点的右侧运行为最好。</w:t>
      </w:r>
    </w:p>
    <w:p w14:paraId="5A8EC3F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（3）便于运行管理。</w:t>
      </w:r>
    </w:p>
    <w:p w14:paraId="26CBCE0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（4）正规厂家生产的水泵产品，具有3C认证企业。</w:t>
      </w:r>
    </w:p>
    <w:p w14:paraId="4B635E8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5、过滤设备的选择</w:t>
      </w:r>
    </w:p>
    <w:p w14:paraId="31C65C2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过滤设施的选型应视水源条件和灌水器要求水质标准而定，不同的灌溉方式过滤精度的要求：滴灌不低于120目，微喷灌不低于100目，喷灌应控制在75目以上。</w:t>
      </w:r>
    </w:p>
    <w:p w14:paraId="576B37E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过滤器应符合GB/T 18690.2-2017《农业灌溉设备 微灌用过滤器 第2部分：网式过滤器和叠片式过滤器》、GB/T 18690.4-2023《农业灌溉设备 微灌用过滤器 第4部分：颗粒介质过滤器》等国家标准（相关标准参照最新文件执行）的有关规定和提供第三方检测报告。</w:t>
      </w:r>
    </w:p>
    <w:p w14:paraId="434A845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滴灌带应符合GB/T 19812.2-2017《塑料节水灌溉器材 第2部分：压力补偿式滴头及滴灌管》、GB/T 19812.3-2017《塑料节水灌溉器材 第3部分：内镶式滴灌管及滴灌带》等国家标准（相关标准参照最新文件执行）的有关规定和提供第三方检测报告，严禁使用由废旧塑料制造的管材和管件。</w:t>
      </w:r>
    </w:p>
    <w:p w14:paraId="1415014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6、量测、控制和保护设施及工作位置</w:t>
      </w:r>
    </w:p>
    <w:p w14:paraId="47AB77F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量测设施主要指流量、压力测量仪表，用于首部枢纽和管道中的流量和压力测量。</w:t>
      </w:r>
    </w:p>
    <w:p w14:paraId="6D046CB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过滤器前后的压力表反应过滤器的堵塞程度。水表用来计量一段时间内管道的水流总量或灌溉水量。选用水表时期额定流量大于或接近于设计流量为宜。</w:t>
      </w:r>
    </w:p>
    <w:p w14:paraId="02D2EDE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控制设施一般包括各种阀门，如闸阀、球阀、蝶阀、流量与压力调节装置等，其作用是控制和调节灌溉系统的流量和压力。</w:t>
      </w:r>
    </w:p>
    <w:p w14:paraId="3DD6561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保护设施用来保证系统在规定压力范围内工作，消除管路中的气阻和真空等，一般有进（排）气阀、安全阀、逆止阀、泄水阀、空气阀等。</w:t>
      </w:r>
    </w:p>
    <w:p w14:paraId="567EF319">
      <w:pPr>
        <w:spacing w:line="360" w:lineRule="auto"/>
        <w:ind w:left="210" w:leftChars="100" w:firstLine="482" w:firstLineChars="200"/>
        <w:jc w:val="center"/>
        <w:rPr>
          <w:rFonts w:ascii="Times New Roman" w:hAnsi="Times New Roman" w:eastAsia="宋体" w:cs="Times New Roman"/>
          <w:b/>
          <w:sz w:val="24"/>
        </w:rPr>
      </w:pPr>
      <w:r>
        <w:rPr>
          <w:rFonts w:hint="eastAsia" w:ascii="Times New Roman" w:hAnsi="Times New Roman" w:eastAsia="宋体" w:cs="Times New Roman"/>
          <w:b/>
          <w:sz w:val="24"/>
        </w:rPr>
        <w:t>灌溉常用阀门作用与安装位置表</w:t>
      </w:r>
    </w:p>
    <w:tbl>
      <w:tblPr>
        <w:tblStyle w:val="5"/>
        <w:tblW w:w="8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111"/>
        <w:gridCol w:w="4712"/>
      </w:tblGrid>
      <w:tr w14:paraId="5A54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48" w:type="dxa"/>
            <w:noWrap w:val="0"/>
            <w:vAlign w:val="center"/>
          </w:tcPr>
          <w:p w14:paraId="725012DE">
            <w:pPr>
              <w:widowControl/>
              <w:contextualSpacing/>
              <w:rPr>
                <w:rFonts w:ascii="宋体" w:hAnsi="宋体" w:eastAsia="宋体" w:cs="宋体"/>
                <w:kern w:val="0"/>
                <w:szCs w:val="21"/>
              </w:rPr>
            </w:pPr>
            <w:r>
              <w:rPr>
                <w:rFonts w:hint="eastAsia" w:ascii="宋体" w:hAnsi="宋体" w:eastAsia="宋体" w:cs="宋体"/>
                <w:kern w:val="0"/>
                <w:szCs w:val="21"/>
              </w:rPr>
              <w:t>阀门名称</w:t>
            </w:r>
          </w:p>
        </w:tc>
        <w:tc>
          <w:tcPr>
            <w:tcW w:w="2111" w:type="dxa"/>
            <w:noWrap w:val="0"/>
            <w:vAlign w:val="center"/>
          </w:tcPr>
          <w:p w14:paraId="0DF57720">
            <w:pPr>
              <w:widowControl/>
              <w:contextualSpacing/>
              <w:rPr>
                <w:rFonts w:ascii="宋体" w:hAnsi="宋体" w:eastAsia="宋体" w:cs="宋体"/>
                <w:kern w:val="0"/>
                <w:szCs w:val="21"/>
              </w:rPr>
            </w:pPr>
            <w:r>
              <w:rPr>
                <w:rFonts w:hint="eastAsia" w:ascii="宋体" w:hAnsi="宋体" w:eastAsia="宋体" w:cs="宋体"/>
                <w:kern w:val="0"/>
                <w:szCs w:val="21"/>
              </w:rPr>
              <w:t>作用</w:t>
            </w:r>
          </w:p>
        </w:tc>
        <w:tc>
          <w:tcPr>
            <w:tcW w:w="4712" w:type="dxa"/>
            <w:noWrap w:val="0"/>
            <w:vAlign w:val="center"/>
          </w:tcPr>
          <w:p w14:paraId="03E442EE">
            <w:pPr>
              <w:widowControl/>
              <w:contextualSpacing/>
              <w:rPr>
                <w:rFonts w:ascii="宋体" w:hAnsi="宋体" w:eastAsia="宋体" w:cs="宋体"/>
                <w:kern w:val="0"/>
                <w:szCs w:val="21"/>
              </w:rPr>
            </w:pPr>
            <w:r>
              <w:rPr>
                <w:rFonts w:hint="eastAsia" w:ascii="宋体" w:hAnsi="宋体" w:eastAsia="宋体" w:cs="宋体"/>
                <w:kern w:val="0"/>
                <w:szCs w:val="21"/>
              </w:rPr>
              <w:t>安装位置</w:t>
            </w:r>
          </w:p>
        </w:tc>
      </w:tr>
      <w:tr w14:paraId="24F9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48" w:type="dxa"/>
            <w:noWrap w:val="0"/>
            <w:vAlign w:val="center"/>
          </w:tcPr>
          <w:p w14:paraId="2A525F65">
            <w:pPr>
              <w:widowControl/>
              <w:contextualSpacing/>
              <w:rPr>
                <w:rFonts w:ascii="宋体" w:hAnsi="宋体" w:eastAsia="宋体" w:cs="宋体"/>
                <w:kern w:val="0"/>
                <w:szCs w:val="21"/>
              </w:rPr>
            </w:pPr>
            <w:r>
              <w:rPr>
                <w:rFonts w:hint="eastAsia" w:ascii="宋体" w:hAnsi="宋体" w:eastAsia="宋体" w:cs="宋体"/>
                <w:kern w:val="0"/>
                <w:szCs w:val="21"/>
              </w:rPr>
              <w:t>闸阀或蝶阀</w:t>
            </w:r>
          </w:p>
        </w:tc>
        <w:tc>
          <w:tcPr>
            <w:tcW w:w="2111" w:type="dxa"/>
            <w:noWrap w:val="0"/>
            <w:vAlign w:val="center"/>
          </w:tcPr>
          <w:p w14:paraId="6A7D0197">
            <w:pPr>
              <w:widowControl/>
              <w:contextualSpacing/>
              <w:rPr>
                <w:rFonts w:ascii="宋体" w:hAnsi="宋体" w:eastAsia="宋体" w:cs="宋体"/>
                <w:kern w:val="0"/>
                <w:szCs w:val="21"/>
              </w:rPr>
            </w:pPr>
            <w:r>
              <w:rPr>
                <w:rFonts w:hint="eastAsia" w:ascii="宋体" w:hAnsi="宋体" w:eastAsia="宋体" w:cs="宋体"/>
                <w:kern w:val="0"/>
                <w:szCs w:val="21"/>
              </w:rPr>
              <w:t>控制、调节</w:t>
            </w:r>
          </w:p>
        </w:tc>
        <w:tc>
          <w:tcPr>
            <w:tcW w:w="4712" w:type="dxa"/>
            <w:noWrap w:val="0"/>
            <w:vAlign w:val="center"/>
          </w:tcPr>
          <w:p w14:paraId="2E3A5064">
            <w:pPr>
              <w:widowControl/>
              <w:contextualSpacing/>
              <w:rPr>
                <w:rFonts w:ascii="宋体" w:hAnsi="宋体" w:eastAsia="宋体" w:cs="宋体"/>
                <w:kern w:val="0"/>
                <w:szCs w:val="21"/>
              </w:rPr>
            </w:pPr>
            <w:r>
              <w:rPr>
                <w:rFonts w:hint="eastAsia" w:ascii="宋体" w:hAnsi="宋体" w:eastAsia="宋体" w:cs="宋体"/>
                <w:kern w:val="0"/>
                <w:szCs w:val="21"/>
              </w:rPr>
              <w:t>在首部枢纽中水泵出口或跟干管进口处</w:t>
            </w:r>
          </w:p>
        </w:tc>
      </w:tr>
      <w:tr w14:paraId="446F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548" w:type="dxa"/>
            <w:noWrap w:val="0"/>
            <w:vAlign w:val="center"/>
          </w:tcPr>
          <w:p w14:paraId="6C9E3BF0">
            <w:pPr>
              <w:widowControl/>
              <w:contextualSpacing/>
              <w:rPr>
                <w:rFonts w:ascii="宋体" w:hAnsi="宋体" w:eastAsia="宋体" w:cs="宋体"/>
                <w:kern w:val="0"/>
                <w:szCs w:val="21"/>
              </w:rPr>
            </w:pPr>
            <w:r>
              <w:rPr>
                <w:rFonts w:hint="eastAsia" w:ascii="宋体" w:hAnsi="宋体" w:eastAsia="宋体" w:cs="宋体"/>
                <w:kern w:val="0"/>
                <w:szCs w:val="21"/>
              </w:rPr>
              <w:t>球阀</w:t>
            </w:r>
          </w:p>
        </w:tc>
        <w:tc>
          <w:tcPr>
            <w:tcW w:w="2111" w:type="dxa"/>
            <w:noWrap w:val="0"/>
            <w:vAlign w:val="center"/>
          </w:tcPr>
          <w:p w14:paraId="39E5FB8E">
            <w:pPr>
              <w:widowControl/>
              <w:contextualSpacing/>
              <w:rPr>
                <w:rFonts w:ascii="宋体" w:hAnsi="宋体" w:eastAsia="宋体" w:cs="宋体"/>
                <w:kern w:val="0"/>
                <w:szCs w:val="21"/>
              </w:rPr>
            </w:pPr>
            <w:r>
              <w:rPr>
                <w:rFonts w:hint="eastAsia" w:ascii="宋体" w:hAnsi="宋体" w:eastAsia="宋体" w:cs="宋体"/>
                <w:kern w:val="0"/>
                <w:szCs w:val="21"/>
              </w:rPr>
              <w:t>控制、调节</w:t>
            </w:r>
          </w:p>
        </w:tc>
        <w:tc>
          <w:tcPr>
            <w:tcW w:w="4712" w:type="dxa"/>
            <w:noWrap w:val="0"/>
            <w:vAlign w:val="center"/>
          </w:tcPr>
          <w:p w14:paraId="01741791">
            <w:pPr>
              <w:widowControl/>
              <w:contextualSpacing/>
              <w:rPr>
                <w:rFonts w:ascii="宋体" w:hAnsi="宋体" w:eastAsia="宋体" w:cs="宋体"/>
                <w:kern w:val="0"/>
                <w:szCs w:val="21"/>
              </w:rPr>
            </w:pPr>
            <w:r>
              <w:rPr>
                <w:rFonts w:hint="eastAsia" w:ascii="宋体" w:hAnsi="宋体" w:eastAsia="宋体" w:cs="宋体"/>
                <w:kern w:val="0"/>
                <w:szCs w:val="21"/>
              </w:rPr>
              <w:t>过滤器的冲洗口与排污口、施肥罐的进出水口、支管进口处</w:t>
            </w:r>
          </w:p>
        </w:tc>
      </w:tr>
      <w:tr w14:paraId="17E4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548" w:type="dxa"/>
            <w:noWrap w:val="0"/>
            <w:vAlign w:val="center"/>
          </w:tcPr>
          <w:p w14:paraId="709DF822">
            <w:pPr>
              <w:widowControl/>
              <w:contextualSpacing/>
              <w:rPr>
                <w:rFonts w:ascii="宋体" w:hAnsi="宋体" w:eastAsia="宋体" w:cs="宋体"/>
                <w:kern w:val="0"/>
                <w:szCs w:val="21"/>
              </w:rPr>
            </w:pPr>
            <w:r>
              <w:rPr>
                <w:rFonts w:hint="eastAsia" w:ascii="宋体" w:hAnsi="宋体" w:eastAsia="宋体" w:cs="宋体"/>
                <w:kern w:val="0"/>
                <w:szCs w:val="21"/>
              </w:rPr>
              <w:t>进排气阀</w:t>
            </w:r>
          </w:p>
        </w:tc>
        <w:tc>
          <w:tcPr>
            <w:tcW w:w="2111" w:type="dxa"/>
            <w:noWrap w:val="0"/>
            <w:vAlign w:val="center"/>
          </w:tcPr>
          <w:p w14:paraId="72619651">
            <w:pPr>
              <w:widowControl/>
              <w:contextualSpacing/>
              <w:rPr>
                <w:rFonts w:ascii="宋体" w:hAnsi="宋体" w:eastAsia="宋体" w:cs="宋体"/>
                <w:kern w:val="0"/>
                <w:szCs w:val="21"/>
              </w:rPr>
            </w:pPr>
            <w:r>
              <w:rPr>
                <w:rFonts w:hint="eastAsia" w:ascii="宋体" w:hAnsi="宋体" w:eastAsia="宋体" w:cs="宋体"/>
                <w:kern w:val="0"/>
                <w:szCs w:val="21"/>
              </w:rPr>
              <w:t>可以进气、排气，防止气阻或负压</w:t>
            </w:r>
          </w:p>
        </w:tc>
        <w:tc>
          <w:tcPr>
            <w:tcW w:w="4712" w:type="dxa"/>
            <w:noWrap w:val="0"/>
            <w:vAlign w:val="center"/>
          </w:tcPr>
          <w:p w14:paraId="4666DD51">
            <w:pPr>
              <w:widowControl/>
              <w:contextualSpacing/>
              <w:rPr>
                <w:rFonts w:ascii="宋体" w:hAnsi="宋体" w:eastAsia="宋体" w:cs="宋体"/>
                <w:kern w:val="0"/>
                <w:szCs w:val="21"/>
              </w:rPr>
            </w:pPr>
            <w:r>
              <w:rPr>
                <w:rFonts w:hint="eastAsia" w:ascii="宋体" w:hAnsi="宋体" w:eastAsia="宋体" w:cs="宋体"/>
                <w:kern w:val="0"/>
                <w:szCs w:val="21"/>
              </w:rPr>
              <w:t>安装在系统最高处</w:t>
            </w:r>
          </w:p>
        </w:tc>
      </w:tr>
      <w:tr w14:paraId="3DF6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548" w:type="dxa"/>
            <w:noWrap w:val="0"/>
            <w:vAlign w:val="center"/>
          </w:tcPr>
          <w:p w14:paraId="0D5EA856">
            <w:pPr>
              <w:widowControl/>
              <w:contextualSpacing/>
              <w:rPr>
                <w:rFonts w:ascii="宋体" w:hAnsi="宋体" w:eastAsia="宋体" w:cs="宋体"/>
                <w:kern w:val="0"/>
                <w:szCs w:val="21"/>
              </w:rPr>
            </w:pPr>
            <w:r>
              <w:rPr>
                <w:rFonts w:hint="eastAsia" w:ascii="宋体" w:hAnsi="宋体" w:eastAsia="宋体" w:cs="宋体"/>
                <w:kern w:val="0"/>
                <w:szCs w:val="21"/>
              </w:rPr>
              <w:t>逆止阀</w:t>
            </w:r>
          </w:p>
        </w:tc>
        <w:tc>
          <w:tcPr>
            <w:tcW w:w="2111" w:type="dxa"/>
            <w:noWrap w:val="0"/>
            <w:vAlign w:val="center"/>
          </w:tcPr>
          <w:p w14:paraId="4BF31268">
            <w:pPr>
              <w:widowControl/>
              <w:contextualSpacing/>
              <w:rPr>
                <w:rFonts w:ascii="宋体" w:hAnsi="宋体" w:eastAsia="宋体" w:cs="宋体"/>
                <w:kern w:val="0"/>
                <w:szCs w:val="21"/>
              </w:rPr>
            </w:pPr>
            <w:r>
              <w:rPr>
                <w:rFonts w:hint="eastAsia" w:ascii="宋体" w:hAnsi="宋体" w:eastAsia="宋体" w:cs="宋体"/>
                <w:kern w:val="0"/>
                <w:szCs w:val="21"/>
              </w:rPr>
              <w:t>防止倒流</w:t>
            </w:r>
          </w:p>
        </w:tc>
        <w:tc>
          <w:tcPr>
            <w:tcW w:w="4712" w:type="dxa"/>
            <w:noWrap w:val="0"/>
            <w:vAlign w:val="center"/>
          </w:tcPr>
          <w:p w14:paraId="647FBC04">
            <w:pPr>
              <w:widowControl/>
              <w:contextualSpacing/>
              <w:rPr>
                <w:rFonts w:ascii="宋体" w:hAnsi="宋体" w:eastAsia="宋体" w:cs="宋体"/>
                <w:kern w:val="0"/>
                <w:szCs w:val="21"/>
              </w:rPr>
            </w:pPr>
            <w:r>
              <w:rPr>
                <w:rFonts w:hint="eastAsia" w:ascii="宋体" w:hAnsi="宋体" w:eastAsia="宋体" w:cs="宋体"/>
                <w:kern w:val="0"/>
                <w:szCs w:val="21"/>
              </w:rPr>
              <w:t>水泵出口处</w:t>
            </w:r>
          </w:p>
        </w:tc>
      </w:tr>
      <w:tr w14:paraId="2AC1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548" w:type="dxa"/>
            <w:noWrap w:val="0"/>
            <w:vAlign w:val="center"/>
          </w:tcPr>
          <w:p w14:paraId="1CDB38C6">
            <w:pPr>
              <w:widowControl/>
              <w:contextualSpacing/>
              <w:rPr>
                <w:rFonts w:ascii="宋体" w:hAnsi="宋体" w:eastAsia="宋体" w:cs="宋体"/>
                <w:kern w:val="0"/>
                <w:szCs w:val="21"/>
              </w:rPr>
            </w:pPr>
            <w:r>
              <w:rPr>
                <w:rFonts w:hint="eastAsia" w:ascii="宋体" w:hAnsi="宋体" w:eastAsia="宋体" w:cs="宋体"/>
                <w:kern w:val="0"/>
                <w:szCs w:val="21"/>
              </w:rPr>
              <w:t>安全阀</w:t>
            </w:r>
          </w:p>
        </w:tc>
        <w:tc>
          <w:tcPr>
            <w:tcW w:w="2111" w:type="dxa"/>
            <w:noWrap w:val="0"/>
            <w:vAlign w:val="center"/>
          </w:tcPr>
          <w:p w14:paraId="0C2950DC">
            <w:pPr>
              <w:widowControl/>
              <w:contextualSpacing/>
              <w:rPr>
                <w:rFonts w:ascii="宋体" w:hAnsi="宋体" w:eastAsia="宋体" w:cs="宋体"/>
                <w:kern w:val="0"/>
                <w:szCs w:val="21"/>
              </w:rPr>
            </w:pPr>
            <w:r>
              <w:rPr>
                <w:rFonts w:hint="eastAsia" w:ascii="宋体" w:hAnsi="宋体" w:eastAsia="宋体" w:cs="宋体"/>
                <w:kern w:val="0"/>
                <w:szCs w:val="21"/>
              </w:rPr>
              <w:t>消除水锤压力</w:t>
            </w:r>
          </w:p>
        </w:tc>
        <w:tc>
          <w:tcPr>
            <w:tcW w:w="4712" w:type="dxa"/>
            <w:noWrap w:val="0"/>
            <w:vAlign w:val="center"/>
          </w:tcPr>
          <w:p w14:paraId="6EF9A405">
            <w:pPr>
              <w:widowControl/>
              <w:contextualSpacing/>
              <w:rPr>
                <w:rFonts w:ascii="宋体" w:hAnsi="宋体" w:eastAsia="宋体" w:cs="宋体"/>
                <w:kern w:val="0"/>
                <w:szCs w:val="21"/>
              </w:rPr>
            </w:pPr>
            <w:r>
              <w:rPr>
                <w:rFonts w:hint="eastAsia" w:ascii="宋体" w:hAnsi="宋体" w:eastAsia="宋体" w:cs="宋体"/>
                <w:kern w:val="0"/>
                <w:szCs w:val="21"/>
              </w:rPr>
              <w:t>安装于输水干管上</w:t>
            </w:r>
          </w:p>
        </w:tc>
      </w:tr>
    </w:tbl>
    <w:p w14:paraId="54C95F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7、控制设备</w:t>
      </w:r>
    </w:p>
    <w:p w14:paraId="766B939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水泵控制需采用变频恒压控制，有效降低能源消耗，节能环保；控制柜控制的水泵可单台和多台能同时启动，备用泵最少三个月能通电一次；同时工频变频的切换，变频器本身具备一拖多的功能，以备后期增加设备；主要电器元件以及变频器需选择国内或国外一线知名品牌；</w:t>
      </w:r>
    </w:p>
    <w:p w14:paraId="195EC1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（1）控制箱外观及内布线要求：</w:t>
      </w:r>
    </w:p>
    <w:p w14:paraId="3EA6890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（2）外箱需有电压电流指示以及各泵运行停止指示，故障指示等相关显示；</w:t>
      </w:r>
    </w:p>
    <w:p w14:paraId="73AAE2F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（3）具有简洁的压力调节装置；</w:t>
      </w:r>
    </w:p>
    <w:p w14:paraId="6256D94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（4）动力线和信号线必须分开走线，线路整洁。 </w:t>
      </w:r>
    </w:p>
    <w:p w14:paraId="16C5E5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（5）变频器动力线要采用合适的线鼻子压紧或直接涮锡，然后接到动力端子上，并一定要拧紧，避免虚接，有标准接线图。 </w:t>
      </w:r>
    </w:p>
    <w:p w14:paraId="352A859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（6）强弱电控制要分开，需采用隔离模块。 </w:t>
      </w:r>
    </w:p>
    <w:p w14:paraId="52C7EC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8、管网布局</w:t>
      </w:r>
    </w:p>
    <w:p w14:paraId="59171BD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输配水管网应由干管、支管、毛管组成，其设计应根据水源位置、地形、灌溉面积、用水量等情况分级布局，密切与排水系统、道路、林带、供电系统及居民点的规划相结合，并符合以下要求：</w:t>
      </w:r>
    </w:p>
    <w:p w14:paraId="0516587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（1）管道布置应尽量考虑与农业管理体制的范围相一致，有利于进行轮灌，并能迅速分散流量，以便于管理。</w:t>
      </w:r>
    </w:p>
    <w:p w14:paraId="4390ABB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（2）干管优先沿着道路、沟渠和耕地边界等方便埋填、检修的区域设计，尽可能避开软弱地基和承压水分布区。</w:t>
      </w:r>
    </w:p>
    <w:p w14:paraId="65A58A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（3）管线的纵剖面应力求平顺，减少折点，并尽量避免管线出现驼峰，有较大起伏时避免产生负压。</w:t>
      </w:r>
    </w:p>
    <w:p w14:paraId="0DD34D6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（4）穿路管道需配套保护套管，过桥管道需配套支撑固定配件。</w:t>
      </w:r>
    </w:p>
    <w:p w14:paraId="21C8138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（5）在主管道轴线起伏段的高处和向下弯处应设置进排气设施，在管轴线起伏段的低处和管道系统的最低处宜设置泄水阀。</w:t>
      </w:r>
    </w:p>
    <w:p w14:paraId="4D87106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9、管材选择</w:t>
      </w:r>
    </w:p>
    <w:p w14:paraId="444A3C6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首部常用钢制管道，园区管道可选择PVC-U管、HDPE热熔管、LDPE盘管。</w:t>
      </w:r>
    </w:p>
    <w:p w14:paraId="51EEF6E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（1）主管道承压必需≥0.8MPa，支管道承压必需≥0.6MPa</w:t>
      </w:r>
    </w:p>
    <w:p w14:paraId="63B748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（2）输配水管网的管道需符合系统设计要求，并应不透光，抗老化，施工方便，连接牢固可靠。</w:t>
      </w:r>
    </w:p>
    <w:p w14:paraId="17ACC51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（3）管道和管件的流通应平顺、光滑。</w:t>
      </w:r>
    </w:p>
    <w:p w14:paraId="53CBF85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（4）管材应采用全新料制作，符合GB/T10002·1-2023《给水用硬聚氯乙烯（PVC-U）管材》、GB/T13663.2-2018《给水用聚乙烯（PE）管材》、GB/T 19812.6-2022《塑料节水灌溉器材 第6部分：输水用聚乙烯（PE）管材》等国家标准（相关标准参照最新文件执行）的有关规定和提供第三方检测报告，PE聚乙烯应为全新原生料，严禁使用由废旧塑料制造的管材和管件。</w:t>
      </w:r>
    </w:p>
    <w:p w14:paraId="0A3CB03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10、管径选择及管网压力设计</w:t>
      </w:r>
    </w:p>
    <w:p w14:paraId="0065A8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各级管道的管径应根据其工作时的输水流量，结合管道末端的输水压力共同确定，以使支管（或毛管）的出口压力基本一致，从而使整个灌区灌水均匀。</w:t>
      </w:r>
    </w:p>
    <w:p w14:paraId="54D76DF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 灌溉水肥一体化设备的选择</w:t>
      </w:r>
    </w:p>
    <w:p w14:paraId="1FDE106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水肥一体化设备的选择是根据现场的灌溉形式、种植面积、作物种类，选择不同的施肥设备。根据种植作物的种类和现场实际情况可选择设备安装在园区或首部位置，也可以根据需要选择移动式的水肥一体化设备。</w:t>
      </w:r>
    </w:p>
    <w:p w14:paraId="26151294">
      <w:pPr>
        <w:keepNext w:val="0"/>
        <w:keepLines w:val="0"/>
        <w:pageBreakBefore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000000"/>
          <w:sz w:val="24"/>
          <w:szCs w:val="24"/>
          <w:lang w:val="en-US" w:eastAsia="zh-CN"/>
        </w:rPr>
      </w:pPr>
      <w:r>
        <w:rPr>
          <w:rFonts w:hint="eastAsia" w:ascii="宋体" w:hAnsi="宋体" w:cs="宋体"/>
          <w:b/>
          <w:bCs/>
          <w:color w:val="000000"/>
          <w:sz w:val="24"/>
          <w:szCs w:val="24"/>
          <w:lang w:val="en-US" w:eastAsia="zh-CN"/>
        </w:rPr>
        <w:t>其他要求</w:t>
      </w:r>
    </w:p>
    <w:p w14:paraId="4DE0A9B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1、本技术规格和技术规范所列货物的技术、功能作为供应商报价参考。供应商所提供的货物在技术与功能等方面应等同于或高于上述技术、功能要求。</w:t>
      </w:r>
    </w:p>
    <w:p w14:paraId="6337755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本技术规格和技术规范提出的各项功能要求和技术指标是对本项目的最基本要求，并未对一切细节做出全部详细规定，也未充分引述有关标准和规范的条文，供应商所有与本项目有关的技术标准均应不低于报价时已颁布的国家和行业标准，或相应的国际标准的有关条文。使用最新的专利和保密专利需特别说明。</w:t>
      </w:r>
    </w:p>
    <w:p w14:paraId="47E5572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2、质量保证</w:t>
      </w:r>
    </w:p>
    <w:p w14:paraId="392633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1）投标人应保证所供货物是全新的、未使用过的，并完全符合合同规定的质量、规格和性能的要求。保证其货物在正确安装、正常使用和保养条件下，在其使用寿命期内应具有满意的性能。在货物最终交付验收后不少于12个月的质量保证期内，应对由于设计、工艺或材料的缺陷而产生的故障负责。</w:t>
      </w:r>
    </w:p>
    <w:p w14:paraId="1D78302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（2）投标人应在质量保证期内，如果货物的质量或规格与合同不符，或证实货物是有缺陷的，包括潜在的缺陷或使用不符合要求的材料等，招标人有权向成交人提出补救措施或索赔。</w:t>
      </w:r>
    </w:p>
    <w:p w14:paraId="7BDDE41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（3）投标人在约定的时间内未能弥补缺陷，招标人可采取必要的补救措施，但其风险和费用将由成交人承担。</w:t>
      </w:r>
    </w:p>
    <w:p w14:paraId="299CA98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3、售后服务</w:t>
      </w:r>
    </w:p>
    <w:p w14:paraId="5E97329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（1）在产品质保期内须免费更换或维修。质保期过后，终身成本更换或维修。</w:t>
      </w:r>
    </w:p>
    <w:p w14:paraId="0B5891F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（2）产品在使用过程中出现问题，中标人应在2小时内响应，24小时内到达现场并解决问题。</w:t>
      </w:r>
    </w:p>
    <w:p w14:paraId="120DC36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（3）产品要求负责现场安装调试，提供维修工具和必要的常用零配件。</w:t>
      </w:r>
    </w:p>
    <w:p w14:paraId="65670BB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（4）报价人需提供系统培训计划，培训次数不少于3次。</w:t>
      </w:r>
    </w:p>
    <w:p w14:paraId="6BBD916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（5）保修及售后服务：首部枢纽部分质保期不低于3年，其余部分质保不低于2年，使用寿命（非人为损坏）土埋管材使用寿命不低于15年，其余部分使用寿命不低于10年（易损件除外）；售后技术终身无偿服务。</w:t>
      </w:r>
    </w:p>
    <w:p w14:paraId="6430D40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lang w:val="en-US"/>
        </w:rPr>
      </w:pPr>
      <w:r>
        <w:rPr>
          <w:rFonts w:hint="default" w:ascii="宋体" w:hAnsi="宋体" w:eastAsia="宋体" w:cs="宋体"/>
          <w:color w:val="000000"/>
          <w:sz w:val="24"/>
          <w:szCs w:val="24"/>
          <w:lang w:val="en-US"/>
        </w:rPr>
        <w:t>4、合同签订及验收</w:t>
      </w:r>
    </w:p>
    <w:p w14:paraId="10F49AA3">
      <w:pPr>
        <w:rPr>
          <w:rFonts w:hint="eastAsia"/>
        </w:rPr>
      </w:pPr>
      <w:r>
        <w:rPr>
          <w:rFonts w:hint="default" w:ascii="宋体" w:hAnsi="宋体" w:eastAsia="宋体" w:cs="宋体"/>
          <w:color w:val="000000"/>
          <w:sz w:val="24"/>
          <w:szCs w:val="24"/>
          <w:lang w:val="en-US"/>
        </w:rPr>
        <w:t>招标人与中标人签订合同，资金支付由招标人根据各地块安装进度实际情况合理安排支付。投标人在投标时应提供各基地地块详细清单及施工图，按清单据实结算且项目总价不超过：</w:t>
      </w:r>
      <w:r>
        <w:rPr>
          <w:rFonts w:hint="eastAsia" w:ascii="宋体" w:hAnsi="宋体" w:cs="宋体"/>
          <w:color w:val="000000"/>
          <w:sz w:val="24"/>
          <w:szCs w:val="24"/>
          <w:lang w:val="en-US" w:eastAsia="zh-CN"/>
        </w:rPr>
        <w:t>1700亩</w:t>
      </w:r>
      <w:r>
        <w:rPr>
          <w:rFonts w:hint="default" w:ascii="宋体" w:hAnsi="宋体" w:eastAsia="宋体" w:cs="宋体"/>
          <w:color w:val="000000"/>
          <w:sz w:val="24"/>
          <w:szCs w:val="24"/>
          <w:lang w:val="en-US"/>
        </w:rPr>
        <w:t>（具体地块面积以第三方实际测绘亩数为准）*中标人的投标报价；中标人和招标人及县蓝莓产业服务发展中心等单位共同实施验收工作，结果和验收报告经双方确认后生效。</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BD90A2"/>
    <w:multiLevelType w:val="singleLevel"/>
    <w:tmpl w:val="C0BD90A2"/>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5OTVmMGZiNjA0N2M5NDhiNWRiMTFiZGYxNGY1YTcifQ=="/>
  </w:docVars>
  <w:rsids>
    <w:rsidRoot w:val="00000000"/>
    <w:rsid w:val="02C221DB"/>
    <w:rsid w:val="07507A55"/>
    <w:rsid w:val="07A77AC1"/>
    <w:rsid w:val="08024F64"/>
    <w:rsid w:val="0A18444A"/>
    <w:rsid w:val="0ACA41BF"/>
    <w:rsid w:val="0D1E3107"/>
    <w:rsid w:val="0F130DC8"/>
    <w:rsid w:val="118306AD"/>
    <w:rsid w:val="11CE5036"/>
    <w:rsid w:val="137E2D1B"/>
    <w:rsid w:val="13FB5B8F"/>
    <w:rsid w:val="155639C9"/>
    <w:rsid w:val="16041B47"/>
    <w:rsid w:val="191C2674"/>
    <w:rsid w:val="1B293176"/>
    <w:rsid w:val="1C933492"/>
    <w:rsid w:val="1FC300D1"/>
    <w:rsid w:val="22331934"/>
    <w:rsid w:val="23B677B2"/>
    <w:rsid w:val="26D229A9"/>
    <w:rsid w:val="2817215E"/>
    <w:rsid w:val="290953E5"/>
    <w:rsid w:val="296E4C74"/>
    <w:rsid w:val="2BA54513"/>
    <w:rsid w:val="2CD04CD7"/>
    <w:rsid w:val="2F1E42CA"/>
    <w:rsid w:val="2F8E7830"/>
    <w:rsid w:val="33134E74"/>
    <w:rsid w:val="38706856"/>
    <w:rsid w:val="38D9526E"/>
    <w:rsid w:val="3924527B"/>
    <w:rsid w:val="3A476AE1"/>
    <w:rsid w:val="3B9C752A"/>
    <w:rsid w:val="3BB75B27"/>
    <w:rsid w:val="3BED2703"/>
    <w:rsid w:val="3C5C6EA8"/>
    <w:rsid w:val="40715B46"/>
    <w:rsid w:val="41A43864"/>
    <w:rsid w:val="4433352C"/>
    <w:rsid w:val="45C8248D"/>
    <w:rsid w:val="46D174BE"/>
    <w:rsid w:val="46D43E50"/>
    <w:rsid w:val="48DC7235"/>
    <w:rsid w:val="48E42A31"/>
    <w:rsid w:val="4BE76329"/>
    <w:rsid w:val="50153434"/>
    <w:rsid w:val="55AD5C6F"/>
    <w:rsid w:val="58061FB3"/>
    <w:rsid w:val="58910D55"/>
    <w:rsid w:val="58C40B58"/>
    <w:rsid w:val="5BA30D37"/>
    <w:rsid w:val="6223037D"/>
    <w:rsid w:val="6562352B"/>
    <w:rsid w:val="706978A3"/>
    <w:rsid w:val="724C193E"/>
    <w:rsid w:val="727B1A8A"/>
    <w:rsid w:val="74BD226A"/>
    <w:rsid w:val="74DF4A61"/>
    <w:rsid w:val="760D22B2"/>
    <w:rsid w:val="76431BD1"/>
    <w:rsid w:val="78D30726"/>
    <w:rsid w:val="7D6202AB"/>
    <w:rsid w:val="7D7E69F1"/>
    <w:rsid w:val="7E436770"/>
    <w:rsid w:val="7E6F3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21"/>
      <w:szCs w:val="21"/>
      <w:lang w:val="zh-CN" w:eastAsia="zh-CN" w:bidi="zh-CN"/>
    </w:rPr>
  </w:style>
  <w:style w:type="paragraph" w:styleId="3">
    <w:name w:val="Body Text Indent"/>
    <w:basedOn w:val="1"/>
    <w:qFormat/>
    <w:uiPriority w:val="99"/>
    <w:pPr>
      <w:spacing w:after="120"/>
      <w:ind w:left="420" w:leftChars="200"/>
    </w:pPr>
  </w:style>
  <w:style w:type="paragraph" w:styleId="4">
    <w:name w:val="Body Text First Indent 2"/>
    <w:basedOn w:val="3"/>
    <w:next w:val="1"/>
    <w:autoRedefine/>
    <w:qFormat/>
    <w:uiPriority w:val="99"/>
    <w:pPr>
      <w:ind w:firstLine="420"/>
    </w:pPr>
    <w:rPr>
      <w:rFonts w:ascii="Times New Roman" w:hAnsi="Times New Roman"/>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6201</Words>
  <Characters>6829</Characters>
  <Lines>0</Lines>
  <Paragraphs>0</Paragraphs>
  <TotalTime>0</TotalTime>
  <ScaleCrop>false</ScaleCrop>
  <LinksUpToDate>false</LinksUpToDate>
  <CharactersWithSpaces>6893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2022-04-21T03:18:00Z</dcterms:created>
  <dc:creator>admin</dc:creator>
  <cp:lastModifiedBy>小柏</cp:lastModifiedBy>
  <cp:lastPrinted>2023-10-16T02:53:00Z</cp:lastPrinted>
  <dcterms:modified xsi:type="dcterms:W3CDTF">2025-03-04T07:06:13Z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BED90688AFD943A8A7CEED4FC7012E8D_13</vt:lpwstr>
  </property>
  <property fmtid="{D5CDD505-2E9C-101B-9397-08002B2CF9AE}" pid="4" name="commondata">
    <vt:lpwstr>eyJoZGlkIjoiZWQ0ZmRlZTM3N2M5MGExMGI5OTU0NmY1MmE0YTczOGUifQ==</vt:lpwstr>
  </property>
  <property fmtid="{D5CDD505-2E9C-101B-9397-08002B2CF9AE}" pid="5" name="KSOTemplateDocerSaveRecord">
    <vt:lpwstr>eyJoZGlkIjoiNjRhYWFjN2NhMzFhZDkxMTU2MDNmZTIwZGE1NjFhMDciLCJ1c2VySWQiOiI1MDQ1NDQ5ODYifQ==</vt:lpwstr>
  </property>
</Properties>
</file>