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A51C21">
      <w:pPr>
        <w:keepNext w:val="0"/>
        <w:keepLines w:val="0"/>
        <w:pageBreakBefore w:val="0"/>
        <w:kinsoku/>
        <w:wordWrap/>
        <w:overflowPunct/>
        <w:topLinePunct w:val="0"/>
        <w:autoSpaceDE/>
        <w:autoSpaceDN/>
        <w:bidi w:val="0"/>
        <w:adjustRightInd/>
        <w:snapToGrid/>
        <w:spacing w:line="396" w:lineRule="auto"/>
        <w:ind w:firstLine="643" w:firstLineChars="200"/>
        <w:jc w:val="center"/>
        <w:textAlignment w:val="auto"/>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货物需求</w:t>
      </w:r>
      <w:r>
        <w:rPr>
          <w:rFonts w:hint="eastAsia" w:ascii="宋体" w:hAnsi="宋体" w:cs="宋体"/>
          <w:b/>
          <w:bCs/>
          <w:color w:val="auto"/>
          <w:sz w:val="32"/>
          <w:szCs w:val="32"/>
          <w:highlight w:val="none"/>
          <w:lang w:val="en-US" w:eastAsia="zh-CN"/>
        </w:rPr>
        <w:t>及技术参数</w:t>
      </w:r>
      <w:r>
        <w:rPr>
          <w:rFonts w:hint="eastAsia" w:ascii="宋体" w:hAnsi="宋体" w:cs="宋体"/>
          <w:b/>
          <w:bCs/>
          <w:color w:val="auto"/>
          <w:sz w:val="32"/>
          <w:szCs w:val="32"/>
          <w:highlight w:val="none"/>
        </w:rPr>
        <w:t>：</w:t>
      </w:r>
    </w:p>
    <w:p w14:paraId="0A4A4076">
      <w:pPr>
        <w:keepNext w:val="0"/>
        <w:keepLines w:val="0"/>
        <w:pageBreakBefore w:val="0"/>
        <w:kinsoku/>
        <w:wordWrap/>
        <w:overflowPunct/>
        <w:topLinePunct w:val="0"/>
        <w:autoSpaceDE/>
        <w:autoSpaceDN/>
        <w:bidi w:val="0"/>
        <w:adjustRightInd/>
        <w:snapToGrid/>
        <w:spacing w:line="396" w:lineRule="auto"/>
        <w:ind w:firstLine="482" w:firstLineChars="200"/>
        <w:textAlignment w:val="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一</w:t>
      </w: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rPr>
        <w:t>项目概况</w:t>
      </w:r>
    </w:p>
    <w:p w14:paraId="28938A25">
      <w:pPr>
        <w:keepNext w:val="0"/>
        <w:keepLines w:val="0"/>
        <w:pageBreakBefore w:val="0"/>
        <w:kinsoku/>
        <w:wordWrap/>
        <w:overflowPunct/>
        <w:topLinePunct w:val="0"/>
        <w:autoSpaceDE/>
        <w:autoSpaceDN/>
        <w:bidi w:val="0"/>
        <w:adjustRightInd/>
        <w:snapToGrid/>
        <w:spacing w:line="396"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1、本项目共计约1500亩（具体地块面积以第三方实际测绘亩数为准），实现蓝莓种植的水肥一体化，帮助招标人方便的实现水肥一体化管理，实现对灌溉、施肥的定时、定量控制，节水节肥、省时省力。</w:t>
      </w:r>
    </w:p>
    <w:p w14:paraId="5B7CB4CA">
      <w:pPr>
        <w:keepNext w:val="0"/>
        <w:keepLines w:val="0"/>
        <w:pageBreakBefore w:val="0"/>
        <w:kinsoku/>
        <w:wordWrap/>
        <w:overflowPunct/>
        <w:topLinePunct w:val="0"/>
        <w:autoSpaceDE/>
        <w:autoSpaceDN/>
        <w:bidi w:val="0"/>
        <w:adjustRightInd/>
        <w:snapToGrid/>
        <w:spacing w:line="396"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2、报价要求</w:t>
      </w:r>
    </w:p>
    <w:p w14:paraId="46DA3253">
      <w:pPr>
        <w:keepNext w:val="0"/>
        <w:keepLines w:val="0"/>
        <w:pageBreakBefore w:val="0"/>
        <w:kinsoku/>
        <w:wordWrap/>
        <w:overflowPunct/>
        <w:topLinePunct w:val="0"/>
        <w:autoSpaceDE/>
        <w:autoSpaceDN/>
        <w:bidi w:val="0"/>
        <w:adjustRightInd/>
        <w:snapToGrid/>
        <w:spacing w:line="396"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投标人应在专业技术、设备设施、人员组织、业绩经验等方面具有设计、制造、质量控制、经营管理的相应的资格和能力。</w:t>
      </w:r>
    </w:p>
    <w:p w14:paraId="54C0C676">
      <w:pPr>
        <w:keepNext w:val="0"/>
        <w:keepLines w:val="0"/>
        <w:pageBreakBefore w:val="0"/>
        <w:kinsoku/>
        <w:wordWrap/>
        <w:overflowPunct/>
        <w:topLinePunct w:val="0"/>
        <w:autoSpaceDE/>
        <w:autoSpaceDN/>
        <w:bidi w:val="0"/>
        <w:adjustRightInd/>
        <w:snapToGrid/>
        <w:spacing w:line="396" w:lineRule="auto"/>
        <w:ind w:firstLine="480" w:firstLineChars="200"/>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rPr>
        <w:t>投标人的报价平均亩单价不得高于2000元人民币。</w:t>
      </w:r>
      <w:r>
        <w:rPr>
          <w:rFonts w:hint="eastAsia" w:ascii="宋体" w:hAnsi="宋体" w:cs="宋体"/>
          <w:color w:val="auto"/>
          <w:sz w:val="24"/>
          <w:szCs w:val="24"/>
          <w:highlight w:val="none"/>
          <w:lang w:val="en-US" w:eastAsia="zh-CN"/>
        </w:rPr>
        <w:t>招标人与中标人签订合同后，资金支付由招标人根据各地块安装进度实际情况合理安排支付。投标人在投标时应提供各基地地块详细清单及施工图，根据清单据实结算且项目总价不超过：</w:t>
      </w:r>
      <w:r>
        <w:rPr>
          <w:rFonts w:hint="eastAsia" w:ascii="宋体" w:hAnsi="宋体" w:cs="宋体"/>
          <w:color w:val="auto"/>
          <w:sz w:val="24"/>
          <w:szCs w:val="24"/>
          <w:highlight w:val="none"/>
        </w:rPr>
        <w:t>“1500亩（具体地块面积以第三方实际测绘亩数为准）*中标人的投标报价”。投标单位的投标报价超出平均亩单价的，按无效投标处理。</w:t>
      </w:r>
    </w:p>
    <w:p w14:paraId="09E67E35">
      <w:pPr>
        <w:keepNext w:val="0"/>
        <w:keepLines w:val="0"/>
        <w:pageBreakBefore w:val="0"/>
        <w:kinsoku/>
        <w:wordWrap/>
        <w:overflowPunct/>
        <w:topLinePunct w:val="0"/>
        <w:autoSpaceDE/>
        <w:autoSpaceDN/>
        <w:bidi w:val="0"/>
        <w:adjustRightInd/>
        <w:snapToGrid/>
        <w:spacing w:line="396"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投标人必须按照招标需求内容、细化后的图纸内容在报价中充分考虑所有可能发生的费用，否则招标人将视报价总价中已包括所有费用。</w:t>
      </w:r>
    </w:p>
    <w:p w14:paraId="3ACDDBB8">
      <w:pPr>
        <w:keepNext w:val="0"/>
        <w:keepLines w:val="0"/>
        <w:pageBreakBefore w:val="0"/>
        <w:kinsoku/>
        <w:wordWrap/>
        <w:overflowPunct/>
        <w:topLinePunct w:val="0"/>
        <w:autoSpaceDE/>
        <w:autoSpaceDN/>
        <w:bidi w:val="0"/>
        <w:adjustRightInd/>
        <w:snapToGrid/>
        <w:spacing w:line="396"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本项目投标报价应按照工程量、结合市场情况及企业自身实力进行报价，报价包含完成本项目的设备及备品、备件和专用工具费用、税金、包装及运输、保险、检测验收、调试及交付使用后维保等工作所发生的费用及投标人认为完成本采购项目规定内容所需发生的其它费用，凡未列入的，将被视为均已包含在投标总报价中。</w:t>
      </w:r>
    </w:p>
    <w:p w14:paraId="01F53990">
      <w:pPr>
        <w:keepNext w:val="0"/>
        <w:keepLines w:val="0"/>
        <w:pageBreakBefore w:val="0"/>
        <w:kinsoku/>
        <w:wordWrap/>
        <w:overflowPunct/>
        <w:topLinePunct w:val="0"/>
        <w:autoSpaceDE/>
        <w:autoSpaceDN/>
        <w:bidi w:val="0"/>
        <w:adjustRightInd/>
        <w:snapToGrid/>
        <w:spacing w:line="396"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3、项目建设要求</w:t>
      </w:r>
    </w:p>
    <w:p w14:paraId="42575FF1">
      <w:pPr>
        <w:keepNext w:val="0"/>
        <w:keepLines w:val="0"/>
        <w:pageBreakBefore w:val="0"/>
        <w:kinsoku/>
        <w:wordWrap/>
        <w:overflowPunct/>
        <w:topLinePunct w:val="0"/>
        <w:autoSpaceDE/>
        <w:autoSpaceDN/>
        <w:bidi w:val="0"/>
        <w:adjustRightInd/>
        <w:snapToGrid/>
        <w:spacing w:line="396"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本项目整体要求是安全、适用、满足实际使用功能，同时兼备科技先进性。设计符合国家有关设计规范、标准及规程。</w:t>
      </w:r>
    </w:p>
    <w:p w14:paraId="5C3B8276">
      <w:pPr>
        <w:keepNext w:val="0"/>
        <w:keepLines w:val="0"/>
        <w:pageBreakBefore w:val="0"/>
        <w:kinsoku/>
        <w:wordWrap/>
        <w:overflowPunct/>
        <w:topLinePunct w:val="0"/>
        <w:autoSpaceDE/>
        <w:autoSpaceDN/>
        <w:bidi w:val="0"/>
        <w:adjustRightInd/>
        <w:snapToGrid/>
        <w:spacing w:line="396"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坚持从实际出发，合理确定设计标准，对生产工艺，主要设备和主体工程做到先进、适用、可靠。</w:t>
      </w:r>
    </w:p>
    <w:p w14:paraId="1F21D92B">
      <w:pPr>
        <w:keepNext w:val="0"/>
        <w:keepLines w:val="0"/>
        <w:pageBreakBefore w:val="0"/>
        <w:kinsoku/>
        <w:wordWrap/>
        <w:overflowPunct/>
        <w:topLinePunct w:val="0"/>
        <w:autoSpaceDE/>
        <w:autoSpaceDN/>
        <w:bidi w:val="0"/>
        <w:adjustRightInd/>
        <w:snapToGrid/>
        <w:spacing w:line="396"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本项目必须按照工程设计图纸和施工技术标准施工，安装质量符合各项技术标准和国家、行业标准。</w:t>
      </w:r>
    </w:p>
    <w:p w14:paraId="2E194727">
      <w:pPr>
        <w:keepNext w:val="0"/>
        <w:keepLines w:val="0"/>
        <w:pageBreakBefore w:val="0"/>
        <w:kinsoku/>
        <w:wordWrap/>
        <w:overflowPunct/>
        <w:topLinePunct w:val="0"/>
        <w:autoSpaceDE/>
        <w:autoSpaceDN/>
        <w:bidi w:val="0"/>
        <w:adjustRightInd/>
        <w:snapToGrid/>
        <w:spacing w:line="396"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质量要求：达到合格等级。</w:t>
      </w:r>
    </w:p>
    <w:p w14:paraId="3CEF5B06">
      <w:pPr>
        <w:keepNext w:val="0"/>
        <w:keepLines w:val="0"/>
        <w:pageBreakBefore w:val="0"/>
        <w:kinsoku/>
        <w:wordWrap/>
        <w:overflowPunct/>
        <w:topLinePunct w:val="0"/>
        <w:autoSpaceDE/>
        <w:autoSpaceDN/>
        <w:bidi w:val="0"/>
        <w:adjustRightInd/>
        <w:snapToGrid/>
        <w:spacing w:line="396"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4、项目概况：怀宁县19个乡镇（除石牌镇外）的蓝莓基地，具体地块以乡镇实际交付情况为准，具体地块面积以第三方实际测绘亩数为准。</w:t>
      </w:r>
    </w:p>
    <w:tbl>
      <w:tblPr>
        <w:tblStyle w:val="5"/>
        <w:tblW w:w="85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1"/>
        <w:gridCol w:w="1178"/>
        <w:gridCol w:w="1960"/>
        <w:gridCol w:w="2125"/>
        <w:gridCol w:w="1333"/>
        <w:gridCol w:w="1109"/>
      </w:tblGrid>
      <w:tr w14:paraId="5EC83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3" w:hRule="atLeast"/>
          <w:jc w:val="center"/>
        </w:trPr>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6548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D64A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乡镇</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29B4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公司</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93A7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基地</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252DF">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作物</w:t>
            </w: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DC16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亩数</w:t>
            </w:r>
          </w:p>
        </w:tc>
      </w:tr>
      <w:tr w14:paraId="6BC2A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jc w:val="center"/>
        </w:trPr>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DE7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7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533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马庙镇</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E3F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新征程公司</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4DD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枫林社区基地</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F2CE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蓝莓</w:t>
            </w: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3345F">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0C777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jc w:val="center"/>
        </w:trPr>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CAC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6F8C9">
            <w:pPr>
              <w:jc w:val="center"/>
              <w:rPr>
                <w:rFonts w:hint="eastAsia" w:ascii="宋体" w:hAnsi="宋体" w:eastAsia="宋体" w:cs="宋体"/>
                <w:i w:val="0"/>
                <w:iCs w:val="0"/>
                <w:color w:val="000000"/>
                <w:sz w:val="22"/>
                <w:szCs w:val="22"/>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F60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马塘公司</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DB8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磨塘村基地</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B5EE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蓝莓</w:t>
            </w: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3593B">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7271D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jc w:val="center"/>
        </w:trPr>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87C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18A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高河镇</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35C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和牧公司</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BFD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双牧村基地</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C4D1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蓝莓</w:t>
            </w: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94100">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176F6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jc w:val="center"/>
        </w:trPr>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46D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7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055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秀山乡</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D19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众发公司</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61D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独秀村基地</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47B6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蓝莓</w:t>
            </w: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5DDF4">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7B8ED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jc w:val="center"/>
        </w:trPr>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789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42ADC">
            <w:pPr>
              <w:jc w:val="center"/>
              <w:rPr>
                <w:rFonts w:hint="eastAsia" w:ascii="宋体" w:hAnsi="宋体" w:eastAsia="宋体" w:cs="宋体"/>
                <w:i w:val="0"/>
                <w:iCs w:val="0"/>
                <w:color w:val="000000"/>
                <w:sz w:val="22"/>
                <w:szCs w:val="22"/>
                <w:u w:val="none"/>
              </w:rPr>
            </w:pPr>
          </w:p>
        </w:tc>
        <w:tc>
          <w:tcPr>
            <w:tcW w:w="196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E0E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秋水公司</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ACB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蒋楼村基地1</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CD34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蓝莓</w:t>
            </w: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F64AA">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r>
      <w:tr w14:paraId="6FB17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jc w:val="center"/>
        </w:trPr>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C00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A9169">
            <w:pPr>
              <w:jc w:val="center"/>
              <w:rPr>
                <w:rFonts w:hint="eastAsia" w:ascii="宋体" w:hAnsi="宋体" w:eastAsia="宋体" w:cs="宋体"/>
                <w:i w:val="0"/>
                <w:iCs w:val="0"/>
                <w:color w:val="000000"/>
                <w:sz w:val="22"/>
                <w:szCs w:val="22"/>
                <w:u w:val="none"/>
              </w:rPr>
            </w:pPr>
          </w:p>
        </w:tc>
        <w:tc>
          <w:tcPr>
            <w:tcW w:w="196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9B1C1">
            <w:pPr>
              <w:jc w:val="center"/>
              <w:rPr>
                <w:rFonts w:hint="eastAsia" w:ascii="宋体" w:hAnsi="宋体" w:eastAsia="宋体" w:cs="宋体"/>
                <w:i w:val="0"/>
                <w:iCs w:val="0"/>
                <w:color w:val="000000"/>
                <w:sz w:val="22"/>
                <w:szCs w:val="22"/>
                <w:u w:val="none"/>
              </w:rPr>
            </w:pP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747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蒋楼村基地2</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0C1C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蓝莓</w:t>
            </w: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85A71">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r>
      <w:tr w14:paraId="63653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jc w:val="center"/>
        </w:trPr>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83B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F9F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小市镇</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6D4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天仙湾公司</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C95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毛安村基地</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1C0F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蓝莓</w:t>
            </w: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A5C23">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391A3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jc w:val="center"/>
        </w:trPr>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564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276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凉亭乡</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C43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源潭铺公司</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423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源潭铺村基地</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426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蓝莓</w:t>
            </w: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CE0AD">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1540F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jc w:val="center"/>
        </w:trPr>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912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C79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月山镇</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9F9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天仙湾公司</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1A22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奇隆村基地</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80685">
            <w:pPr>
              <w:keepNext w:val="0"/>
              <w:keepLines w:val="0"/>
              <w:widowControl/>
              <w:suppressLineNumbers w:val="0"/>
              <w:jc w:val="center"/>
              <w:textAlignment w:val="center"/>
              <w:rPr>
                <w:rFonts w:hint="eastAsia" w:ascii="宋体" w:hAnsi="宋体" w:eastAsia="宋体" w:cs="宋体"/>
                <w:i w:val="0"/>
                <w:iCs w:val="0"/>
                <w:color w:val="3C01FD"/>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蓝莓</w:t>
            </w: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F034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100</w:t>
            </w:r>
          </w:p>
        </w:tc>
      </w:tr>
      <w:tr w14:paraId="437B0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jc w:val="center"/>
        </w:trPr>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1FF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F89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石镜乡</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348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天仙湾公司</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A7EA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马山村基地</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C4EA6">
            <w:pPr>
              <w:keepNext w:val="0"/>
              <w:keepLines w:val="0"/>
              <w:widowControl/>
              <w:suppressLineNumbers w:val="0"/>
              <w:jc w:val="center"/>
              <w:textAlignment w:val="center"/>
              <w:rPr>
                <w:rFonts w:hint="eastAsia" w:ascii="宋体" w:hAnsi="宋体" w:eastAsia="宋体" w:cs="宋体"/>
                <w:i w:val="0"/>
                <w:iCs w:val="0"/>
                <w:color w:val="3C01FD"/>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蓝莓</w:t>
            </w: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449C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100</w:t>
            </w:r>
          </w:p>
        </w:tc>
      </w:tr>
      <w:tr w14:paraId="2EBF2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jc w:val="center"/>
        </w:trPr>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B4A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418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江镇镇</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1DF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天仙湾公司</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465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日新村基地</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0BE3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蓝莓</w:t>
            </w: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F4F7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47</w:t>
            </w:r>
          </w:p>
        </w:tc>
      </w:tr>
      <w:tr w14:paraId="4B4E0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jc w:val="center"/>
        </w:trPr>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96A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25E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洪铺镇</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649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天仙湾公司</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2E7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新岗村基地1</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223A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蓝莓</w:t>
            </w: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661E2">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339A7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jc w:val="center"/>
        </w:trPr>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9A7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17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01B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腊树镇</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D84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天仙湾公司</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C47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芝岭村基地1</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2033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蓝莓</w:t>
            </w: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C36B1">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288AC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jc w:val="center"/>
        </w:trPr>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76D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1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30720">
            <w:pPr>
              <w:jc w:val="center"/>
              <w:rPr>
                <w:rFonts w:hint="eastAsia" w:ascii="宋体" w:hAnsi="宋体" w:eastAsia="宋体" w:cs="宋体"/>
                <w:i w:val="0"/>
                <w:iCs w:val="0"/>
                <w:color w:val="000000"/>
                <w:sz w:val="22"/>
                <w:szCs w:val="22"/>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AE8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秋水公司</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D7A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高旗村基地</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1EEB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蓝莓</w:t>
            </w: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76DC4">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r>
      <w:tr w14:paraId="73B88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jc w:val="center"/>
        </w:trPr>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59C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1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6C423">
            <w:pPr>
              <w:jc w:val="center"/>
              <w:rPr>
                <w:rFonts w:hint="eastAsia" w:ascii="宋体" w:hAnsi="宋体" w:eastAsia="宋体" w:cs="宋体"/>
                <w:i w:val="0"/>
                <w:iCs w:val="0"/>
                <w:color w:val="000000"/>
                <w:sz w:val="22"/>
                <w:szCs w:val="22"/>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27D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天仙湾公司</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1B5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安山村基地</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9D39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蓝莓</w:t>
            </w: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39287">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5A10B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606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31738">
            <w:pPr>
              <w:jc w:val="center"/>
              <w:rPr>
                <w:rFonts w:hint="eastAsia" w:ascii="宋体" w:hAnsi="宋体" w:eastAsia="宋体" w:cs="宋体"/>
                <w:i w:val="0"/>
                <w:iCs w:val="0"/>
                <w:color w:val="000000"/>
                <w:sz w:val="22"/>
                <w:szCs w:val="22"/>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C55CD">
            <w:pPr>
              <w:jc w:val="center"/>
              <w:rPr>
                <w:rFonts w:hint="eastAsia" w:ascii="宋体" w:hAnsi="宋体" w:eastAsia="宋体" w:cs="宋体"/>
                <w:i w:val="0"/>
                <w:iCs w:val="0"/>
                <w:color w:val="000000"/>
                <w:sz w:val="22"/>
                <w:szCs w:val="22"/>
                <w:u w:val="none"/>
              </w:rPr>
            </w:pP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D2958">
            <w:pPr>
              <w:jc w:val="center"/>
              <w:rPr>
                <w:rFonts w:hint="eastAsia" w:ascii="宋体" w:hAnsi="宋体" w:eastAsia="宋体" w:cs="宋体"/>
                <w:i w:val="0"/>
                <w:iCs w:val="0"/>
                <w:color w:val="000000"/>
                <w:sz w:val="22"/>
                <w:szCs w:val="22"/>
                <w:u w:val="none"/>
              </w:rPr>
            </w:pP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37419">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3FF2D">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b/>
                <w:bCs/>
                <w:i w:val="0"/>
                <w:iCs w:val="0"/>
                <w:color w:val="000000"/>
                <w:kern w:val="0"/>
                <w:sz w:val="22"/>
                <w:szCs w:val="22"/>
                <w:u w:val="none"/>
                <w:lang w:val="en-US" w:eastAsia="zh-CN" w:bidi="ar"/>
              </w:rPr>
              <w:t>1418</w:t>
            </w:r>
          </w:p>
        </w:tc>
      </w:tr>
    </w:tbl>
    <w:p w14:paraId="5B390CEF">
      <w:pPr>
        <w:rPr>
          <w:rFonts w:hint="eastAsia" w:ascii="宋体" w:hAnsi="宋体" w:cs="宋体"/>
          <w:b/>
          <w:bCs/>
          <w:color w:val="000000"/>
          <w:sz w:val="24"/>
          <w:szCs w:val="24"/>
        </w:rPr>
      </w:pPr>
      <w:r>
        <w:rPr>
          <w:rFonts w:hint="eastAsia" w:ascii="宋体" w:hAnsi="宋体" w:cs="宋体"/>
          <w:b/>
          <w:bCs/>
          <w:color w:val="000000"/>
          <w:sz w:val="24"/>
          <w:szCs w:val="24"/>
          <w:lang w:eastAsia="zh-CN"/>
        </w:rPr>
        <w:t>（</w:t>
      </w:r>
      <w:r>
        <w:rPr>
          <w:rFonts w:hint="eastAsia" w:ascii="宋体" w:hAnsi="宋体" w:cs="宋体"/>
          <w:b/>
          <w:bCs/>
          <w:color w:val="000000"/>
          <w:sz w:val="24"/>
          <w:szCs w:val="24"/>
          <w:lang w:val="en-US" w:eastAsia="zh-CN"/>
        </w:rPr>
        <w:t>二</w:t>
      </w:r>
      <w:r>
        <w:rPr>
          <w:rFonts w:hint="eastAsia" w:ascii="宋体" w:hAnsi="宋体" w:cs="宋体"/>
          <w:b/>
          <w:bCs/>
          <w:color w:val="000000"/>
          <w:sz w:val="24"/>
          <w:szCs w:val="24"/>
          <w:lang w:eastAsia="zh-CN"/>
        </w:rPr>
        <w:t>）</w:t>
      </w:r>
      <w:r>
        <w:rPr>
          <w:rFonts w:hint="eastAsia" w:ascii="宋体" w:hAnsi="宋体" w:cs="宋体"/>
          <w:b/>
          <w:bCs/>
          <w:color w:val="000000"/>
          <w:sz w:val="24"/>
          <w:szCs w:val="24"/>
        </w:rPr>
        <w:t>规范性引用文件</w:t>
      </w:r>
    </w:p>
    <w:p w14:paraId="2086BA3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42A8C86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GB/T 10002·1-2023 给水用硬聚氯乙烯（PVC-U）管材</w:t>
      </w:r>
    </w:p>
    <w:p w14:paraId="2A08374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GB/T 13664-2023 低压灌溉用硬聚氯乙烯（PVC-U）管材</w:t>
      </w:r>
    </w:p>
    <w:p w14:paraId="1CF1ED0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GB/T 13663.1-2017  给水用聚乙烯（PE）管道系统 第1部分：总则</w:t>
      </w:r>
    </w:p>
    <w:p w14:paraId="732D263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GB/T 13663.2-2018 给水用聚乙烯（PE）管道系统 第2部分：管材</w:t>
      </w:r>
    </w:p>
    <w:p w14:paraId="6E0E82B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GB/T 13663.3-2018  给水用聚乙烯（PE）管道系统 第3部分：管件</w:t>
      </w:r>
    </w:p>
    <w:p w14:paraId="4A2E31C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GB/T 13663.5-2018  给水用聚乙烯（PE）管道系统 第5部分：系统适用性</w:t>
      </w:r>
    </w:p>
    <w:p w14:paraId="1C0DC7F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GB/T 18690.2-2017 农业灌溉设备 微灌用过滤器 第2部分：网式过滤器和叠片式过滤器</w:t>
      </w:r>
    </w:p>
    <w:p w14:paraId="4600EB9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GB/T 18690.4-2023 农业灌溉设备 微灌用过滤器 第4部分：颗粒介质过滤器GB/T 18691.1-2021  农业灌溉设备 灌溉阀 第1部分：通用要求</w:t>
      </w:r>
    </w:p>
    <w:p w14:paraId="7280954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GB/T 18691.2-2021  农业灌溉设备 灌溉阀 第2部分：隔离阀</w:t>
      </w:r>
    </w:p>
    <w:p w14:paraId="3921FF8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GB/T 18691.3-2021  农业灌溉设备 灌溉阀 第3部分：止回阀</w:t>
      </w:r>
    </w:p>
    <w:p w14:paraId="3D3BF8C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GB/T 18691.4-2021  农业灌溉设备 灌溉阀 第4部分：进排气阀</w:t>
      </w:r>
    </w:p>
    <w:p w14:paraId="5AD3469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GB/T 18691.5-2021  农业灌溉设备 灌溉阀 第5部分：控制阀</w:t>
      </w:r>
    </w:p>
    <w:p w14:paraId="54708BA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GB/T 18025-2000  农业灌溉设备 电动或电控灌溉机械的电气设备和布线</w:t>
      </w:r>
    </w:p>
    <w:p w14:paraId="233957F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GB/T 19812.1-2017  塑料节水灌溉器材 第1部分：单翼迷宫式滴灌带</w:t>
      </w:r>
    </w:p>
    <w:p w14:paraId="1DBC1D3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GB/T 19812.2-2017  塑料节水灌溉器材 第2部分：压力补偿式滴头及滴灌管</w:t>
      </w:r>
    </w:p>
    <w:p w14:paraId="441D4E4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GB/T 19812.3-2017  塑料节水灌溉器材 第3部分：内镶式滴灌管及滴灌带</w:t>
      </w:r>
    </w:p>
    <w:p w14:paraId="19EAE60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GB/T 19812.4-2018  塑料节水灌溉器材 第4部分: 聚乙烯（PE）软管</w:t>
      </w:r>
    </w:p>
    <w:p w14:paraId="21FD86C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GB/T 19812.5-2019  塑料节水灌溉器材 第5部分：地埋式滴灌管</w:t>
      </w:r>
    </w:p>
    <w:p w14:paraId="307E957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GB/T 19812.6-2022 塑料节水灌溉器材 第6部分：输水用聚乙烯（PE）管材</w:t>
      </w:r>
    </w:p>
    <w:p w14:paraId="481C272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GB/T 19812.7-2024  塑料节水灌溉器材 第7部分：微灌用塑料阀门</w:t>
      </w:r>
    </w:p>
    <w:p w14:paraId="674B7332">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000000"/>
          <w:sz w:val="24"/>
          <w:szCs w:val="24"/>
        </w:rPr>
      </w:pPr>
      <w:r>
        <w:rPr>
          <w:rFonts w:hint="eastAsia" w:ascii="宋体" w:hAnsi="宋体" w:cs="宋体"/>
          <w:b/>
          <w:bCs/>
          <w:color w:val="000000"/>
          <w:sz w:val="24"/>
          <w:szCs w:val="24"/>
          <w:lang w:eastAsia="zh-CN"/>
        </w:rPr>
        <w:t>（</w:t>
      </w:r>
      <w:r>
        <w:rPr>
          <w:rFonts w:hint="eastAsia" w:ascii="宋体" w:hAnsi="宋体" w:cs="宋体"/>
          <w:b/>
          <w:bCs/>
          <w:color w:val="000000"/>
          <w:sz w:val="24"/>
          <w:szCs w:val="24"/>
          <w:lang w:val="en-US" w:eastAsia="zh-CN"/>
        </w:rPr>
        <w:t>三</w:t>
      </w:r>
      <w:r>
        <w:rPr>
          <w:rFonts w:hint="eastAsia" w:ascii="宋体" w:hAnsi="宋体" w:cs="宋体"/>
          <w:b/>
          <w:bCs/>
          <w:color w:val="000000"/>
          <w:sz w:val="24"/>
          <w:szCs w:val="24"/>
          <w:lang w:eastAsia="zh-CN"/>
        </w:rPr>
        <w:t>）</w:t>
      </w:r>
      <w:r>
        <w:rPr>
          <w:rFonts w:hint="eastAsia" w:ascii="宋体" w:hAnsi="宋体" w:cs="宋体"/>
          <w:b/>
          <w:bCs/>
          <w:color w:val="000000"/>
          <w:sz w:val="24"/>
          <w:szCs w:val="24"/>
        </w:rPr>
        <w:t>基本技术要求</w:t>
      </w:r>
    </w:p>
    <w:p w14:paraId="3B9BEF9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1、首部加压系统</w:t>
      </w:r>
    </w:p>
    <w:p w14:paraId="134AFC9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首部加压依据水源不同采取不同的加压水泵。对于池塘，采用管道离心泵或者是潜水泵进行加压；对于水库等不易安装潜水泵的水源采用浮筒式水泵进行加压。</w:t>
      </w:r>
    </w:p>
    <w:p w14:paraId="5B1FD18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首部所用的水泵控制方式依据水泵用途划分成工频控制和变频控制，灌溉水泵采用变频恒压控制，提水水泵采用工频控制。</w:t>
      </w:r>
    </w:p>
    <w:p w14:paraId="0EAAA53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泵房自水塘的进水口须采用浮筒式进水口，以保证进水水质。</w:t>
      </w:r>
    </w:p>
    <w:p w14:paraId="2904873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2、过滤系统</w:t>
      </w:r>
    </w:p>
    <w:p w14:paraId="542E597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为了防止因为水质的原因而堵塞灌水器，首部需配备过滤系统，河水、水库水源统一采用手动反冲洗砂石过滤器和手动反冲洗叠片过滤器，示范区采用自动反冲洗砂石过滤器和自动反冲洗叠片过滤器。</w:t>
      </w:r>
    </w:p>
    <w:p w14:paraId="767D5B4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3、施肥系统</w:t>
      </w:r>
    </w:p>
    <w:p w14:paraId="512809C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施肥设备全部采用水肥一体机，带触屏控制，可设置施肥量，定时控制、定量控制。每台水肥一体机配套一个1000L锥型底肥料桶，并安装搅拌机。示范区采用智能水肥一体机。</w:t>
      </w:r>
      <w:r>
        <w:rPr>
          <w:rFonts w:hint="eastAsia" w:ascii="宋体" w:hAnsi="宋体" w:cs="宋体"/>
          <w:color w:val="000000"/>
          <w:sz w:val="24"/>
          <w:szCs w:val="24"/>
          <w:lang w:val="en-US" w:eastAsia="zh-CN"/>
        </w:rPr>
        <w:t>施肥</w:t>
      </w:r>
      <w:r>
        <w:rPr>
          <w:rFonts w:hint="eastAsia" w:ascii="宋体" w:hAnsi="宋体" w:eastAsia="宋体" w:cs="宋体"/>
          <w:color w:val="000000"/>
          <w:sz w:val="24"/>
          <w:szCs w:val="24"/>
        </w:rPr>
        <w:t>桶处应提供简易取水设施。</w:t>
      </w:r>
    </w:p>
    <w:p w14:paraId="41923E4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4、管网</w:t>
      </w:r>
    </w:p>
    <w:p w14:paraId="62A29FE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管网需满足供水需求，主管支管均采用地埋安装，当面积在250亩以内时可采用De90PE管道作为主管道，超过250亩时需采用De110PE以上管道作为主管道，主管道承压不低于0.8MPa，主管路须安装空气阀。管道穿主干道需采用钢管作为保护套管。</w:t>
      </w:r>
    </w:p>
    <w:p w14:paraId="5594A89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支管采用PE盘管，管道需满足供水承压要求，最低承压不得低于0.6MPa。</w:t>
      </w:r>
    </w:p>
    <w:p w14:paraId="5BDC53F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为方便日常管理和控制，根据现场地形，阀门尽量集中布置，每16亩左右设置一个轮灌区，安装一个总控阀门，轮灌阀门安装阀门箱保护，并安装阀门指示牌，便于园区管护使用。</w:t>
      </w:r>
    </w:p>
    <w:p w14:paraId="68856CB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5、灌水器</w:t>
      </w:r>
    </w:p>
    <w:p w14:paraId="201536C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为保证灌溉均匀性，当地形落差高于30m时，采用压力补偿式滴灌带，平地采用常规内镶贴片式滴灌带。所有滴灌带壁厚不得低于0.4mm。</w:t>
      </w:r>
    </w:p>
    <w:p w14:paraId="2ECD4C2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压力补偿式滴灌带，防滴漏型，直径16mm，间距45cm，流量1.35L/h，压力补偿范围：0.05-0.4Mpa。</w:t>
      </w:r>
    </w:p>
    <w:p w14:paraId="038429D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压力补偿滴灌带允许采用进口产品，进口产品必须具有国外生产商合法有效授权书、海关进口货物报关单及权威检测机构检测报告。</w:t>
      </w:r>
    </w:p>
    <w:p w14:paraId="0688EB6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内镶贴片式滴灌带，直径16mm，间距45cm，流量1.38L/h。</w:t>
      </w:r>
    </w:p>
    <w:p w14:paraId="0545E0A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滴灌带须配备固定卡扣3米/个，卡扣长度不低于20cm。</w:t>
      </w:r>
    </w:p>
    <w:p w14:paraId="3E32F04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6、控制系统</w:t>
      </w:r>
    </w:p>
    <w:p w14:paraId="40ACBE7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园区供水阀门采用手动阀门控制，示范区采用电磁阀自动控制，采用无线传输的方式。</w:t>
      </w:r>
    </w:p>
    <w:p w14:paraId="55A383E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园区供水阀门须满足园区管理需求，操作简单便捷，省时省工。</w:t>
      </w:r>
    </w:p>
    <w:p w14:paraId="25F2FCC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7、泵房</w:t>
      </w:r>
    </w:p>
    <w:p w14:paraId="3BBE96E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对于首部流量为50m³/h的泵房，至少需要提供不小于28m2的彩钢板泵房。对于首部流量为30m³/h的泵房，至少需要提供不小于20m2的彩钢板泵房。</w:t>
      </w:r>
    </w:p>
    <w:p w14:paraId="36B3180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8、蓄水桶</w:t>
      </w:r>
    </w:p>
    <w:p w14:paraId="5260102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000000"/>
          <w:sz w:val="24"/>
          <w:szCs w:val="24"/>
          <w:highlight w:val="red"/>
          <w:lang w:val="en-US" w:eastAsia="zh-CN"/>
        </w:rPr>
      </w:pPr>
      <w:r>
        <w:rPr>
          <w:rFonts w:hint="eastAsia" w:ascii="宋体" w:hAnsi="宋体" w:eastAsia="宋体" w:cs="宋体"/>
          <w:color w:val="000000"/>
          <w:sz w:val="24"/>
          <w:szCs w:val="24"/>
        </w:rPr>
        <w:t>对于部分高差较大，不方便直接采用离心泵或者潜水泵直接灌溉的基地，在泵房位置附近安装蓄水桶。蓄水桶采用钢制拼装式衬膜蓄水桶。</w:t>
      </w:r>
    </w:p>
    <w:p w14:paraId="7BAC9CD0">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000000"/>
          <w:sz w:val="24"/>
          <w:szCs w:val="24"/>
          <w:lang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FB2436B">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000000"/>
          <w:sz w:val="24"/>
          <w:szCs w:val="24"/>
        </w:rPr>
      </w:pPr>
      <w:bookmarkStart w:id="0" w:name="_GoBack"/>
      <w:bookmarkEnd w:id="0"/>
      <w:r>
        <w:rPr>
          <w:rFonts w:hint="eastAsia" w:ascii="宋体" w:hAnsi="宋体" w:cs="宋体"/>
          <w:b/>
          <w:bCs/>
          <w:color w:val="000000"/>
          <w:sz w:val="24"/>
          <w:szCs w:val="24"/>
          <w:lang w:eastAsia="zh-CN"/>
        </w:rPr>
        <w:t>（</w:t>
      </w:r>
      <w:r>
        <w:rPr>
          <w:rFonts w:hint="eastAsia" w:ascii="宋体" w:hAnsi="宋体" w:cs="宋体"/>
          <w:b/>
          <w:bCs/>
          <w:color w:val="000000"/>
          <w:sz w:val="24"/>
          <w:szCs w:val="24"/>
          <w:lang w:val="en-US" w:eastAsia="zh-CN"/>
        </w:rPr>
        <w:t>四</w:t>
      </w:r>
      <w:r>
        <w:rPr>
          <w:rFonts w:hint="eastAsia" w:ascii="宋体" w:hAnsi="宋体" w:cs="宋体"/>
          <w:b/>
          <w:bCs/>
          <w:color w:val="000000"/>
          <w:sz w:val="24"/>
          <w:szCs w:val="24"/>
          <w:lang w:eastAsia="zh-CN"/>
        </w:rPr>
        <w:t>）</w:t>
      </w:r>
      <w:r>
        <w:rPr>
          <w:rFonts w:hint="eastAsia" w:ascii="宋体" w:hAnsi="宋体" w:cs="宋体"/>
          <w:b/>
          <w:bCs/>
          <w:color w:val="000000"/>
          <w:sz w:val="24"/>
          <w:szCs w:val="24"/>
        </w:rPr>
        <w:t>使用效果</w:t>
      </w:r>
    </w:p>
    <w:p w14:paraId="281A4ED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所采购水肥一体化设施应保证规范使用情况下管路不堵塞，确保园区内各个位置灌溉施肥均匀，系统可升级拓展自动化，确保每个园区8小时内灌溉完毕。</w:t>
      </w:r>
    </w:p>
    <w:p w14:paraId="07093558">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宋体" w:hAnsi="宋体" w:cs="宋体"/>
          <w:b/>
          <w:bCs/>
          <w:color w:val="000000"/>
          <w:sz w:val="24"/>
          <w:szCs w:val="24"/>
          <w:lang w:val="en-US"/>
        </w:rPr>
      </w:pPr>
      <w:r>
        <w:rPr>
          <w:rFonts w:hint="eastAsia" w:ascii="宋体" w:hAnsi="宋体" w:cs="宋体"/>
          <w:b/>
          <w:bCs/>
          <w:color w:val="000000"/>
          <w:sz w:val="24"/>
          <w:szCs w:val="24"/>
          <w:lang w:eastAsia="zh-CN"/>
        </w:rPr>
        <w:t>（</w:t>
      </w:r>
      <w:r>
        <w:rPr>
          <w:rFonts w:hint="eastAsia" w:ascii="宋体" w:hAnsi="宋体" w:cs="宋体"/>
          <w:b/>
          <w:bCs/>
          <w:color w:val="000000"/>
          <w:sz w:val="24"/>
          <w:szCs w:val="24"/>
          <w:lang w:val="en-US" w:eastAsia="zh-CN"/>
        </w:rPr>
        <w:t>五</w:t>
      </w:r>
      <w:r>
        <w:rPr>
          <w:rFonts w:hint="eastAsia" w:ascii="宋体" w:hAnsi="宋体" w:cs="宋体"/>
          <w:b/>
          <w:bCs/>
          <w:color w:val="000000"/>
          <w:sz w:val="24"/>
          <w:szCs w:val="24"/>
          <w:lang w:eastAsia="zh-CN"/>
        </w:rPr>
        <w:t>）</w:t>
      </w:r>
      <w:r>
        <w:rPr>
          <w:rFonts w:hint="eastAsia" w:ascii="宋体" w:hAnsi="宋体" w:cs="宋体"/>
          <w:b/>
          <w:bCs/>
          <w:color w:val="000000"/>
          <w:sz w:val="24"/>
          <w:szCs w:val="24"/>
          <w:lang w:val="en-US" w:eastAsia="zh-CN"/>
        </w:rPr>
        <w:t>验收标准</w:t>
      </w:r>
    </w:p>
    <w:p w14:paraId="10CD675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1、深化设计要求</w:t>
      </w:r>
    </w:p>
    <w:p w14:paraId="51DFF54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（1）应收集水源、气象、地形、道路、沟渠、土壤、作物、种植规划、定位、与发展规划等方面的基本资料。</w:t>
      </w:r>
    </w:p>
    <w:p w14:paraId="6544EE8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（2）设计方案包括规划说明、各基地详细设备清单及工程布置图。设计说明应包括项目概况、建设内容、建议运行制度等基本内容。设备清单应包括主要设备和材料规格、型号、数量，明确其单价。</w:t>
      </w:r>
    </w:p>
    <w:p w14:paraId="5B81CA3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（3）布置图必需明确建设范围，现场道路、泵房等基础设施布局，首部枢纽区位，主输水管网布局，管控阀门布局，首部设备布局等基本要素。</w:t>
      </w:r>
    </w:p>
    <w:p w14:paraId="3633B26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（4）灌溉系统设计前，应根据现行国家标准的相关规定，结合规划要求和确定的灌水方式，合理确定相关技术参数。</w:t>
      </w:r>
    </w:p>
    <w:p w14:paraId="689DFB2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2、水源工程</w:t>
      </w:r>
    </w:p>
    <w:p w14:paraId="4F02332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（1）水源工程必须按年用水计划和作业计划规定的供水量和供水时间保证供水。</w:t>
      </w:r>
    </w:p>
    <w:p w14:paraId="5125A82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（2）以河流、渠道、水库、塘堰、机井等为水源的水源工程，应按有关规范的规定执行。</w:t>
      </w:r>
    </w:p>
    <w:p w14:paraId="49EDFE7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（3）水源工程应按有关工程技术规范进行设计。</w:t>
      </w:r>
    </w:p>
    <w:p w14:paraId="72514A7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（4）进入灌溉系统管网的水应经过净化处理，不应含有太多大粒泥沙、杂草、鱼卵、藻类等物质。</w:t>
      </w:r>
    </w:p>
    <w:p w14:paraId="044FC39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3、首部枢纽</w:t>
      </w:r>
    </w:p>
    <w:p w14:paraId="1EDA01B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灌溉系统的首部枢纽包括水泵、控制设备、施肥药装置和过滤设施。其作用就是从水源取水加压，并加入肥料和农药，经净化处理，担负着整个灌溉系统的加压、供水（肥、药）、过滤、量测和调控任务。</w:t>
      </w:r>
    </w:p>
    <w:p w14:paraId="73BE9F9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首部系统位置应根据水源及灌溉地的相对位置定：</w:t>
      </w:r>
    </w:p>
    <w:p w14:paraId="78F3F30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（1）水源距灌溉地块较近时，首部枢纽布置在水源附近，以便管理。</w:t>
      </w:r>
    </w:p>
    <w:p w14:paraId="03167AA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（2）水源距灌溉地块距离较远时，首部枢纽就应布置在灌溉地附近易于管 理的位置。</w:t>
      </w:r>
    </w:p>
    <w:p w14:paraId="0D3C5C8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（3）首部枢纽应将加压、过滤、安全保护和量测控制设备等集中安装。</w:t>
      </w:r>
    </w:p>
    <w:p w14:paraId="1E27573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（4）用于人畜饮水管道应与灌溉供水管道分开，化肥和农药注入口应该配置过滤设备。</w:t>
      </w:r>
    </w:p>
    <w:p w14:paraId="32188FF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（5）首部枢纽房屋应满足机电设备、过滤器、施肥装置等安装和操作要求。</w:t>
      </w:r>
    </w:p>
    <w:p w14:paraId="2222B2C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（6）清洗过滤器、化肥罐的废水未经处理，不得排入原水源中。</w:t>
      </w:r>
    </w:p>
    <w:p w14:paraId="2A9F8F0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4、水泵的选择</w:t>
      </w:r>
    </w:p>
    <w:p w14:paraId="776D9B7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（1）在设计扬程下，流量满足灌溉系统所需流量要求。</w:t>
      </w:r>
    </w:p>
    <w:p w14:paraId="742E5AE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（2）在长期运行过程中，水泵的工作效率要高，而且经常在最高效率点的右侧运行为最好。</w:t>
      </w:r>
    </w:p>
    <w:p w14:paraId="5A8EC3F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（3）便于运行管理。</w:t>
      </w:r>
    </w:p>
    <w:p w14:paraId="26CBCE0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（4）正规厂家生产的水泵产品，具有3C认证企业。</w:t>
      </w:r>
    </w:p>
    <w:p w14:paraId="4B635E8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5、过滤设备的选择</w:t>
      </w:r>
    </w:p>
    <w:p w14:paraId="31C65C2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过滤设施的选型应视水源条件和灌水器要求水质标准而定，不同的灌溉方式过滤精度的要求：滴灌不低于120目，微喷灌不低于100目，喷灌应控制在75目以上。</w:t>
      </w:r>
    </w:p>
    <w:p w14:paraId="576B37E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过滤器应符合GB/T 18690.2-2017《农业灌溉设备 微灌用过滤器 第2部分：网式过滤器和叠片式过滤器》、GB/T 18690.4-2023《农业灌溉设备 微灌用过滤器 第4部分：颗粒介质过滤器》等国家标准（相关标准参照最新文件执行）的有关规定和提供第三方检测报告。</w:t>
      </w:r>
    </w:p>
    <w:p w14:paraId="434A845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滴灌带应符合GB/T 19812.2-2017《塑料节水灌溉器材 第2部分：压力补偿式滴头及滴灌管》、GB/T 19812.3-2017《塑料节水灌溉器材 第3部分：内镶式滴灌管及滴灌带》等国家标准（相关标准参照最新文件执行）的有关规定和提供第三方检测报告，严禁使用由废旧塑料制造的管材和管件。</w:t>
      </w:r>
    </w:p>
    <w:p w14:paraId="1415014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6、量测、控制和保护设施及工作位置</w:t>
      </w:r>
    </w:p>
    <w:p w14:paraId="47AB77F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量测设施主要指流量、压力测量仪表，用于首部枢纽和管道中的流量和压力测量。</w:t>
      </w:r>
    </w:p>
    <w:p w14:paraId="6D046CB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过滤器前后的压力表反应过滤器的堵塞程度。水表用来计量一段时间内管道的水流总量或灌溉水量。选用水表时期额定流量大于或接近于设计流量为宜。</w:t>
      </w:r>
    </w:p>
    <w:p w14:paraId="02D2EDE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控制设施一般包括各种阀门，如闸阀、球阀、蝶阀、流量与压力调节装置等，其作用是控制和调节灌溉系统的流量和压力。</w:t>
      </w:r>
    </w:p>
    <w:p w14:paraId="3DD6561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保护设施用来保证系统在规定压力范围内工作，消除管路中的气阻和真空等，一般有进（排）气阀、安全阀、逆止阀、泄水阀、空气阀等。</w:t>
      </w:r>
    </w:p>
    <w:p w14:paraId="3A13317E">
      <w:pPr>
        <w:spacing w:line="360" w:lineRule="auto"/>
        <w:ind w:left="210" w:leftChars="100" w:firstLine="482" w:firstLineChars="200"/>
        <w:jc w:val="center"/>
        <w:rPr>
          <w:rFonts w:ascii="Times New Roman" w:hAnsi="Times New Roman" w:eastAsia="宋体" w:cs="Times New Roman"/>
          <w:b/>
          <w:sz w:val="24"/>
        </w:rPr>
      </w:pPr>
      <w:r>
        <w:rPr>
          <w:rFonts w:hint="eastAsia" w:ascii="Times New Roman" w:hAnsi="Times New Roman" w:eastAsia="宋体" w:cs="Times New Roman"/>
          <w:b/>
          <w:sz w:val="24"/>
        </w:rPr>
        <w:t>灌溉常用阀门作用与安装位置表</w:t>
      </w:r>
    </w:p>
    <w:tbl>
      <w:tblPr>
        <w:tblStyle w:val="5"/>
        <w:tblW w:w="83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8"/>
        <w:gridCol w:w="2111"/>
        <w:gridCol w:w="4712"/>
      </w:tblGrid>
      <w:tr w14:paraId="47AAE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7" w:hRule="atLeast"/>
          <w:jc w:val="center"/>
        </w:trPr>
        <w:tc>
          <w:tcPr>
            <w:tcW w:w="1548" w:type="dxa"/>
            <w:noWrap w:val="0"/>
            <w:vAlign w:val="center"/>
          </w:tcPr>
          <w:p w14:paraId="4ECEAD94">
            <w:pPr>
              <w:widowControl/>
              <w:contextualSpacing/>
              <w:rPr>
                <w:rFonts w:ascii="宋体" w:hAnsi="宋体" w:eastAsia="宋体" w:cs="宋体"/>
                <w:kern w:val="0"/>
                <w:szCs w:val="21"/>
              </w:rPr>
            </w:pPr>
            <w:r>
              <w:rPr>
                <w:rFonts w:hint="eastAsia" w:ascii="宋体" w:hAnsi="宋体" w:eastAsia="宋体" w:cs="宋体"/>
                <w:kern w:val="0"/>
                <w:szCs w:val="21"/>
              </w:rPr>
              <w:t>阀门名称</w:t>
            </w:r>
          </w:p>
        </w:tc>
        <w:tc>
          <w:tcPr>
            <w:tcW w:w="2111" w:type="dxa"/>
            <w:noWrap w:val="0"/>
            <w:vAlign w:val="center"/>
          </w:tcPr>
          <w:p w14:paraId="7ECDD133">
            <w:pPr>
              <w:widowControl/>
              <w:contextualSpacing/>
              <w:rPr>
                <w:rFonts w:ascii="宋体" w:hAnsi="宋体" w:eastAsia="宋体" w:cs="宋体"/>
                <w:kern w:val="0"/>
                <w:szCs w:val="21"/>
              </w:rPr>
            </w:pPr>
            <w:r>
              <w:rPr>
                <w:rFonts w:hint="eastAsia" w:ascii="宋体" w:hAnsi="宋体" w:eastAsia="宋体" w:cs="宋体"/>
                <w:kern w:val="0"/>
                <w:szCs w:val="21"/>
              </w:rPr>
              <w:t>作用</w:t>
            </w:r>
          </w:p>
        </w:tc>
        <w:tc>
          <w:tcPr>
            <w:tcW w:w="4712" w:type="dxa"/>
            <w:noWrap w:val="0"/>
            <w:vAlign w:val="center"/>
          </w:tcPr>
          <w:p w14:paraId="01A217FE">
            <w:pPr>
              <w:widowControl/>
              <w:contextualSpacing/>
              <w:rPr>
                <w:rFonts w:ascii="宋体" w:hAnsi="宋体" w:eastAsia="宋体" w:cs="宋体"/>
                <w:kern w:val="0"/>
                <w:szCs w:val="21"/>
              </w:rPr>
            </w:pPr>
            <w:r>
              <w:rPr>
                <w:rFonts w:hint="eastAsia" w:ascii="宋体" w:hAnsi="宋体" w:eastAsia="宋体" w:cs="宋体"/>
                <w:kern w:val="0"/>
                <w:szCs w:val="21"/>
              </w:rPr>
              <w:t>安装位置</w:t>
            </w:r>
          </w:p>
        </w:tc>
      </w:tr>
      <w:tr w14:paraId="2EB60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548" w:type="dxa"/>
            <w:noWrap w:val="0"/>
            <w:vAlign w:val="center"/>
          </w:tcPr>
          <w:p w14:paraId="7F3E5CDF">
            <w:pPr>
              <w:widowControl/>
              <w:contextualSpacing/>
              <w:rPr>
                <w:rFonts w:ascii="宋体" w:hAnsi="宋体" w:eastAsia="宋体" w:cs="宋体"/>
                <w:kern w:val="0"/>
                <w:szCs w:val="21"/>
              </w:rPr>
            </w:pPr>
            <w:r>
              <w:rPr>
                <w:rFonts w:hint="eastAsia" w:ascii="宋体" w:hAnsi="宋体" w:eastAsia="宋体" w:cs="宋体"/>
                <w:kern w:val="0"/>
                <w:szCs w:val="21"/>
              </w:rPr>
              <w:t>闸阀或蝶阀</w:t>
            </w:r>
          </w:p>
        </w:tc>
        <w:tc>
          <w:tcPr>
            <w:tcW w:w="2111" w:type="dxa"/>
            <w:noWrap w:val="0"/>
            <w:vAlign w:val="center"/>
          </w:tcPr>
          <w:p w14:paraId="3F196A75">
            <w:pPr>
              <w:widowControl/>
              <w:contextualSpacing/>
              <w:rPr>
                <w:rFonts w:ascii="宋体" w:hAnsi="宋体" w:eastAsia="宋体" w:cs="宋体"/>
                <w:kern w:val="0"/>
                <w:szCs w:val="21"/>
              </w:rPr>
            </w:pPr>
            <w:r>
              <w:rPr>
                <w:rFonts w:hint="eastAsia" w:ascii="宋体" w:hAnsi="宋体" w:eastAsia="宋体" w:cs="宋体"/>
                <w:kern w:val="0"/>
                <w:szCs w:val="21"/>
              </w:rPr>
              <w:t>控制、调节</w:t>
            </w:r>
          </w:p>
        </w:tc>
        <w:tc>
          <w:tcPr>
            <w:tcW w:w="4712" w:type="dxa"/>
            <w:noWrap w:val="0"/>
            <w:vAlign w:val="center"/>
          </w:tcPr>
          <w:p w14:paraId="7BF3F440">
            <w:pPr>
              <w:widowControl/>
              <w:contextualSpacing/>
              <w:rPr>
                <w:rFonts w:ascii="宋体" w:hAnsi="宋体" w:eastAsia="宋体" w:cs="宋体"/>
                <w:kern w:val="0"/>
                <w:szCs w:val="21"/>
              </w:rPr>
            </w:pPr>
            <w:r>
              <w:rPr>
                <w:rFonts w:hint="eastAsia" w:ascii="宋体" w:hAnsi="宋体" w:eastAsia="宋体" w:cs="宋体"/>
                <w:kern w:val="0"/>
                <w:szCs w:val="21"/>
              </w:rPr>
              <w:t>在首部枢纽中水泵出口或跟干管进口处</w:t>
            </w:r>
          </w:p>
        </w:tc>
      </w:tr>
      <w:tr w14:paraId="39499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548" w:type="dxa"/>
            <w:noWrap w:val="0"/>
            <w:vAlign w:val="center"/>
          </w:tcPr>
          <w:p w14:paraId="4F4E3D32">
            <w:pPr>
              <w:widowControl/>
              <w:contextualSpacing/>
              <w:rPr>
                <w:rFonts w:ascii="宋体" w:hAnsi="宋体" w:eastAsia="宋体" w:cs="宋体"/>
                <w:kern w:val="0"/>
                <w:szCs w:val="21"/>
              </w:rPr>
            </w:pPr>
            <w:r>
              <w:rPr>
                <w:rFonts w:hint="eastAsia" w:ascii="宋体" w:hAnsi="宋体" w:eastAsia="宋体" w:cs="宋体"/>
                <w:kern w:val="0"/>
                <w:szCs w:val="21"/>
              </w:rPr>
              <w:t>球阀</w:t>
            </w:r>
          </w:p>
        </w:tc>
        <w:tc>
          <w:tcPr>
            <w:tcW w:w="2111" w:type="dxa"/>
            <w:noWrap w:val="0"/>
            <w:vAlign w:val="center"/>
          </w:tcPr>
          <w:p w14:paraId="72763F38">
            <w:pPr>
              <w:widowControl/>
              <w:contextualSpacing/>
              <w:rPr>
                <w:rFonts w:ascii="宋体" w:hAnsi="宋体" w:eastAsia="宋体" w:cs="宋体"/>
                <w:kern w:val="0"/>
                <w:szCs w:val="21"/>
              </w:rPr>
            </w:pPr>
            <w:r>
              <w:rPr>
                <w:rFonts w:hint="eastAsia" w:ascii="宋体" w:hAnsi="宋体" w:eastAsia="宋体" w:cs="宋体"/>
                <w:kern w:val="0"/>
                <w:szCs w:val="21"/>
              </w:rPr>
              <w:t>控制、调节</w:t>
            </w:r>
          </w:p>
        </w:tc>
        <w:tc>
          <w:tcPr>
            <w:tcW w:w="4712" w:type="dxa"/>
            <w:noWrap w:val="0"/>
            <w:vAlign w:val="center"/>
          </w:tcPr>
          <w:p w14:paraId="74800E29">
            <w:pPr>
              <w:widowControl/>
              <w:contextualSpacing/>
              <w:rPr>
                <w:rFonts w:ascii="宋体" w:hAnsi="宋体" w:eastAsia="宋体" w:cs="宋体"/>
                <w:kern w:val="0"/>
                <w:szCs w:val="21"/>
              </w:rPr>
            </w:pPr>
            <w:r>
              <w:rPr>
                <w:rFonts w:hint="eastAsia" w:ascii="宋体" w:hAnsi="宋体" w:eastAsia="宋体" w:cs="宋体"/>
                <w:kern w:val="0"/>
                <w:szCs w:val="21"/>
              </w:rPr>
              <w:t>过滤器的冲洗口与排污口、施肥罐的进出水口、支管进口处</w:t>
            </w:r>
          </w:p>
        </w:tc>
      </w:tr>
      <w:tr w14:paraId="5ADA7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1548" w:type="dxa"/>
            <w:noWrap w:val="0"/>
            <w:vAlign w:val="center"/>
          </w:tcPr>
          <w:p w14:paraId="21E472E7">
            <w:pPr>
              <w:widowControl/>
              <w:contextualSpacing/>
              <w:rPr>
                <w:rFonts w:ascii="宋体" w:hAnsi="宋体" w:eastAsia="宋体" w:cs="宋体"/>
                <w:kern w:val="0"/>
                <w:szCs w:val="21"/>
              </w:rPr>
            </w:pPr>
            <w:r>
              <w:rPr>
                <w:rFonts w:hint="eastAsia" w:ascii="宋体" w:hAnsi="宋体" w:eastAsia="宋体" w:cs="宋体"/>
                <w:kern w:val="0"/>
                <w:szCs w:val="21"/>
              </w:rPr>
              <w:t>进排气阀</w:t>
            </w:r>
          </w:p>
        </w:tc>
        <w:tc>
          <w:tcPr>
            <w:tcW w:w="2111" w:type="dxa"/>
            <w:noWrap w:val="0"/>
            <w:vAlign w:val="center"/>
          </w:tcPr>
          <w:p w14:paraId="21EB6590">
            <w:pPr>
              <w:widowControl/>
              <w:contextualSpacing/>
              <w:rPr>
                <w:rFonts w:ascii="宋体" w:hAnsi="宋体" w:eastAsia="宋体" w:cs="宋体"/>
                <w:kern w:val="0"/>
                <w:szCs w:val="21"/>
              </w:rPr>
            </w:pPr>
            <w:r>
              <w:rPr>
                <w:rFonts w:hint="eastAsia" w:ascii="宋体" w:hAnsi="宋体" w:eastAsia="宋体" w:cs="宋体"/>
                <w:kern w:val="0"/>
                <w:szCs w:val="21"/>
              </w:rPr>
              <w:t>可以进气、排气，防止气阻或负压</w:t>
            </w:r>
          </w:p>
        </w:tc>
        <w:tc>
          <w:tcPr>
            <w:tcW w:w="4712" w:type="dxa"/>
            <w:noWrap w:val="0"/>
            <w:vAlign w:val="center"/>
          </w:tcPr>
          <w:p w14:paraId="67BD4853">
            <w:pPr>
              <w:widowControl/>
              <w:contextualSpacing/>
              <w:rPr>
                <w:rFonts w:ascii="宋体" w:hAnsi="宋体" w:eastAsia="宋体" w:cs="宋体"/>
                <w:kern w:val="0"/>
                <w:szCs w:val="21"/>
              </w:rPr>
            </w:pPr>
            <w:r>
              <w:rPr>
                <w:rFonts w:hint="eastAsia" w:ascii="宋体" w:hAnsi="宋体" w:eastAsia="宋体" w:cs="宋体"/>
                <w:kern w:val="0"/>
                <w:szCs w:val="21"/>
              </w:rPr>
              <w:t>安装在系统最高处</w:t>
            </w:r>
          </w:p>
        </w:tc>
      </w:tr>
      <w:tr w14:paraId="102E4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548" w:type="dxa"/>
            <w:noWrap w:val="0"/>
            <w:vAlign w:val="center"/>
          </w:tcPr>
          <w:p w14:paraId="53DCFCD4">
            <w:pPr>
              <w:widowControl/>
              <w:contextualSpacing/>
              <w:rPr>
                <w:rFonts w:ascii="宋体" w:hAnsi="宋体" w:eastAsia="宋体" w:cs="宋体"/>
                <w:kern w:val="0"/>
                <w:szCs w:val="21"/>
              </w:rPr>
            </w:pPr>
            <w:r>
              <w:rPr>
                <w:rFonts w:hint="eastAsia" w:ascii="宋体" w:hAnsi="宋体" w:eastAsia="宋体" w:cs="宋体"/>
                <w:kern w:val="0"/>
                <w:szCs w:val="21"/>
              </w:rPr>
              <w:t>逆止阀</w:t>
            </w:r>
          </w:p>
        </w:tc>
        <w:tc>
          <w:tcPr>
            <w:tcW w:w="2111" w:type="dxa"/>
            <w:noWrap w:val="0"/>
            <w:vAlign w:val="center"/>
          </w:tcPr>
          <w:p w14:paraId="085683D7">
            <w:pPr>
              <w:widowControl/>
              <w:contextualSpacing/>
              <w:rPr>
                <w:rFonts w:ascii="宋体" w:hAnsi="宋体" w:eastAsia="宋体" w:cs="宋体"/>
                <w:kern w:val="0"/>
                <w:szCs w:val="21"/>
              </w:rPr>
            </w:pPr>
            <w:r>
              <w:rPr>
                <w:rFonts w:hint="eastAsia" w:ascii="宋体" w:hAnsi="宋体" w:eastAsia="宋体" w:cs="宋体"/>
                <w:kern w:val="0"/>
                <w:szCs w:val="21"/>
              </w:rPr>
              <w:t>防止倒流</w:t>
            </w:r>
          </w:p>
        </w:tc>
        <w:tc>
          <w:tcPr>
            <w:tcW w:w="4712" w:type="dxa"/>
            <w:noWrap w:val="0"/>
            <w:vAlign w:val="center"/>
          </w:tcPr>
          <w:p w14:paraId="576F02AF">
            <w:pPr>
              <w:widowControl/>
              <w:contextualSpacing/>
              <w:rPr>
                <w:rFonts w:ascii="宋体" w:hAnsi="宋体" w:eastAsia="宋体" w:cs="宋体"/>
                <w:kern w:val="0"/>
                <w:szCs w:val="21"/>
              </w:rPr>
            </w:pPr>
            <w:r>
              <w:rPr>
                <w:rFonts w:hint="eastAsia" w:ascii="宋体" w:hAnsi="宋体" w:eastAsia="宋体" w:cs="宋体"/>
                <w:kern w:val="0"/>
                <w:szCs w:val="21"/>
              </w:rPr>
              <w:t>水泵出口处</w:t>
            </w:r>
          </w:p>
        </w:tc>
      </w:tr>
      <w:tr w14:paraId="1DF61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548" w:type="dxa"/>
            <w:noWrap w:val="0"/>
            <w:vAlign w:val="center"/>
          </w:tcPr>
          <w:p w14:paraId="73BD1837">
            <w:pPr>
              <w:widowControl/>
              <w:contextualSpacing/>
              <w:rPr>
                <w:rFonts w:ascii="宋体" w:hAnsi="宋体" w:eastAsia="宋体" w:cs="宋体"/>
                <w:kern w:val="0"/>
                <w:szCs w:val="21"/>
              </w:rPr>
            </w:pPr>
            <w:r>
              <w:rPr>
                <w:rFonts w:hint="eastAsia" w:ascii="宋体" w:hAnsi="宋体" w:eastAsia="宋体" w:cs="宋体"/>
                <w:kern w:val="0"/>
                <w:szCs w:val="21"/>
              </w:rPr>
              <w:t>安全阀</w:t>
            </w:r>
          </w:p>
        </w:tc>
        <w:tc>
          <w:tcPr>
            <w:tcW w:w="2111" w:type="dxa"/>
            <w:noWrap w:val="0"/>
            <w:vAlign w:val="center"/>
          </w:tcPr>
          <w:p w14:paraId="5F3F8175">
            <w:pPr>
              <w:widowControl/>
              <w:contextualSpacing/>
              <w:rPr>
                <w:rFonts w:ascii="宋体" w:hAnsi="宋体" w:eastAsia="宋体" w:cs="宋体"/>
                <w:kern w:val="0"/>
                <w:szCs w:val="21"/>
              </w:rPr>
            </w:pPr>
            <w:r>
              <w:rPr>
                <w:rFonts w:hint="eastAsia" w:ascii="宋体" w:hAnsi="宋体" w:eastAsia="宋体" w:cs="宋体"/>
                <w:kern w:val="0"/>
                <w:szCs w:val="21"/>
              </w:rPr>
              <w:t>消除水锤压力</w:t>
            </w:r>
          </w:p>
        </w:tc>
        <w:tc>
          <w:tcPr>
            <w:tcW w:w="4712" w:type="dxa"/>
            <w:noWrap w:val="0"/>
            <w:vAlign w:val="center"/>
          </w:tcPr>
          <w:p w14:paraId="2DD2FBF5">
            <w:pPr>
              <w:widowControl/>
              <w:contextualSpacing/>
              <w:rPr>
                <w:rFonts w:ascii="宋体" w:hAnsi="宋体" w:eastAsia="宋体" w:cs="宋体"/>
                <w:kern w:val="0"/>
                <w:szCs w:val="21"/>
              </w:rPr>
            </w:pPr>
            <w:r>
              <w:rPr>
                <w:rFonts w:hint="eastAsia" w:ascii="宋体" w:hAnsi="宋体" w:eastAsia="宋体" w:cs="宋体"/>
                <w:kern w:val="0"/>
                <w:szCs w:val="21"/>
              </w:rPr>
              <w:t>安装于输水干管上</w:t>
            </w:r>
          </w:p>
        </w:tc>
      </w:tr>
    </w:tbl>
    <w:p w14:paraId="54C95F3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7、控制设备</w:t>
      </w:r>
    </w:p>
    <w:p w14:paraId="766B939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水泵控制需采用变频恒压控制，有效降低能源消耗，节能环保；控制柜控制的水泵可单台和多台能同时启动，备用泵最少三个月能通电一次；同时工频变频的切换，变频器本身具备一拖多的功能，以备后期增加设备；主要电器元件以及变频器需选择国内或国外一线知名品牌；</w:t>
      </w:r>
    </w:p>
    <w:p w14:paraId="195EC1B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（1）控制箱外观及内布线要求：</w:t>
      </w:r>
    </w:p>
    <w:p w14:paraId="3EA6890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（2）外箱需有电压电流指示以及各泵运行停止指示，故障指示等相关显示；</w:t>
      </w:r>
    </w:p>
    <w:p w14:paraId="73AAE2F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（3）具有简洁的压力调节装置；</w:t>
      </w:r>
    </w:p>
    <w:p w14:paraId="6256D94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（4）动力线和信号线必须分开走线，线路整洁。 </w:t>
      </w:r>
    </w:p>
    <w:p w14:paraId="16C5E53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（5）变频器动力线要采用合适的线鼻子压紧或直接涮锡，然后接到动力端子上，并一定要拧紧，避免虚接，有标准接线图。 </w:t>
      </w:r>
    </w:p>
    <w:p w14:paraId="352A859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（6）强弱电控制要分开，需采用隔离模块。 </w:t>
      </w:r>
    </w:p>
    <w:p w14:paraId="52C7ECF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8、管网布局</w:t>
      </w:r>
    </w:p>
    <w:p w14:paraId="59171BD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输配水管网应由干管、支管、毛管组成，其设计应根据水源位置、地形、灌溉面积、用水量等情况分级布局，密切与排水系统、道路、林带、供电系统及居民点的规划相结合，并符合以下要求：</w:t>
      </w:r>
    </w:p>
    <w:p w14:paraId="0516587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（1）管道布置应尽量考虑与农业管理体制的范围相一致，有利于进行轮灌，并能迅速分散流量，以便于管理。</w:t>
      </w:r>
    </w:p>
    <w:p w14:paraId="4390ABB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（2）干管优先沿着道路、沟渠和耕地边界等方便埋填、检修的区域设计，尽可能避开软弱地基和承压水分布区。</w:t>
      </w:r>
    </w:p>
    <w:p w14:paraId="65A58A4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（3）管线的纵剖面应力求平顺，减少折点，并尽量避免管线出现驼峰，有较大起伏时避免产生负压。</w:t>
      </w:r>
    </w:p>
    <w:p w14:paraId="0DD34D6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（4）穿路管道需配套保护套管，过桥管道需配套支撑固定配件。</w:t>
      </w:r>
    </w:p>
    <w:p w14:paraId="21C8138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（5）在主管道轴线起伏段的高处和向下弯处应设置进排气设施，在管轴线起伏段的低处和管道系统的最低处宜设置泄水阀。</w:t>
      </w:r>
    </w:p>
    <w:p w14:paraId="4D87106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9、管材选择</w:t>
      </w:r>
    </w:p>
    <w:p w14:paraId="444A3C6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首部常用钢制管道，园区管道可选择PVC-U管、HDPE热熔管、LDPE盘管。</w:t>
      </w:r>
    </w:p>
    <w:p w14:paraId="51EEF6E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（1）主管道承压必需≥0.8MPa，支管道承压必需≥0.6MPa</w:t>
      </w:r>
    </w:p>
    <w:p w14:paraId="63B7482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（2）输配水管网的管道需符合系统设计要求，并应不透光，抗老化，施工方便，连接牢固可靠。</w:t>
      </w:r>
    </w:p>
    <w:p w14:paraId="17ACC51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（3）管道和管件的流通应平顺、光滑。</w:t>
      </w:r>
    </w:p>
    <w:p w14:paraId="53CBF85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（4）管材应采用全新料制作，符合GB/T10002·1-2023《给水用硬聚氯乙烯（PVC-U）管材》、GB/T13663.2-2018《给水用聚乙烯（PE）管材》、GB/T 19812.6-2022《塑料节水灌溉器材 第6部分：输水用聚乙烯（PE）管材》等国家标准（相关标准参照最新文件执行）的有关规定和提供第三方检测报告，PE聚乙烯应为全新原生料，严禁使用由废旧塑料制造的管材和管件。</w:t>
      </w:r>
    </w:p>
    <w:p w14:paraId="0A3CB03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10、管径选择及管网压力设计</w:t>
      </w:r>
    </w:p>
    <w:p w14:paraId="0065A82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各级管道的管径应根据其工作时的输水流量，结合管道末端的输水压力共同确定，以使支管（或毛管）的出口压力基本一致，从而使整个灌区灌水均匀。</w:t>
      </w:r>
    </w:p>
    <w:p w14:paraId="54D76DF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11、 灌溉水肥一体化设备的选择</w:t>
      </w:r>
    </w:p>
    <w:p w14:paraId="1FDE106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水肥一体化设备的选择是根据现场的灌溉形式、种植面积、作物种类，选择不同的施肥设备。根据种植作物的种类和现场实际情况可选择设备安装在园区或首部位置，也可以根据需要选择移动式的水肥一体化设备。</w:t>
      </w:r>
    </w:p>
    <w:p w14:paraId="26151294">
      <w:pPr>
        <w:keepNext w:val="0"/>
        <w:keepLines w:val="0"/>
        <w:pageBreakBefore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000000"/>
          <w:sz w:val="24"/>
          <w:szCs w:val="24"/>
          <w:lang w:val="en-US" w:eastAsia="zh-CN"/>
        </w:rPr>
      </w:pPr>
      <w:r>
        <w:rPr>
          <w:rFonts w:hint="eastAsia" w:ascii="宋体" w:hAnsi="宋体" w:cs="宋体"/>
          <w:b/>
          <w:bCs/>
          <w:color w:val="000000"/>
          <w:sz w:val="24"/>
          <w:szCs w:val="24"/>
          <w:lang w:val="en-US" w:eastAsia="zh-CN"/>
        </w:rPr>
        <w:t>其他要求</w:t>
      </w:r>
    </w:p>
    <w:p w14:paraId="4DE0A9B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000000"/>
          <w:sz w:val="24"/>
          <w:szCs w:val="24"/>
          <w:lang w:val="en-US"/>
        </w:rPr>
      </w:pPr>
      <w:r>
        <w:rPr>
          <w:rFonts w:hint="default" w:ascii="宋体" w:hAnsi="宋体" w:eastAsia="宋体" w:cs="宋体"/>
          <w:color w:val="000000"/>
          <w:sz w:val="24"/>
          <w:szCs w:val="24"/>
          <w:lang w:val="en-US"/>
        </w:rPr>
        <w:t>1、本技术规格和技术规范所列货物的技术、功能作为供应商报价参考。供应商所提供的货物在技术与功能等方面应等同于或高于上述技术、功能要求。</w:t>
      </w:r>
    </w:p>
    <w:p w14:paraId="6337755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000000"/>
          <w:sz w:val="24"/>
          <w:szCs w:val="24"/>
          <w:lang w:val="en-US"/>
        </w:rPr>
      </w:pPr>
      <w:r>
        <w:rPr>
          <w:rFonts w:hint="default" w:ascii="宋体" w:hAnsi="宋体" w:eastAsia="宋体" w:cs="宋体"/>
          <w:color w:val="000000"/>
          <w:sz w:val="24"/>
          <w:szCs w:val="24"/>
          <w:lang w:val="en-US"/>
        </w:rPr>
        <w:t>本技术规格和技术规范提出的各项功能要求和技术指标是对本项目的最基本要求，并未对一切细节做出全部详细规定，也未充分引述有关标准和规范的条文，供应商所有与本项目有关的技术标准均应不低于报价时已颁布的国家和行业标准，或相应的国际标准的有关条文。使用最新的专利和保密专利需特别说明。</w:t>
      </w:r>
    </w:p>
    <w:p w14:paraId="47E5572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000000"/>
          <w:sz w:val="24"/>
          <w:szCs w:val="24"/>
          <w:lang w:val="en-US"/>
        </w:rPr>
      </w:pPr>
      <w:r>
        <w:rPr>
          <w:rFonts w:hint="default" w:ascii="宋体" w:hAnsi="宋体" w:eastAsia="宋体" w:cs="宋体"/>
          <w:color w:val="000000"/>
          <w:sz w:val="24"/>
          <w:szCs w:val="24"/>
          <w:lang w:val="en-US"/>
        </w:rPr>
        <w:t>2、质量保证</w:t>
      </w:r>
    </w:p>
    <w:p w14:paraId="392633B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000000"/>
          <w:sz w:val="24"/>
          <w:szCs w:val="24"/>
          <w:lang w:val="en-US"/>
        </w:rPr>
      </w:pPr>
      <w:r>
        <w:rPr>
          <w:rFonts w:hint="default" w:ascii="宋体" w:hAnsi="宋体" w:eastAsia="宋体" w:cs="宋体"/>
          <w:color w:val="000000"/>
          <w:sz w:val="24"/>
          <w:szCs w:val="24"/>
          <w:lang w:val="en-US"/>
        </w:rPr>
        <w:t>（1）投标人应保证所供货物是全新的、未使用过的，并完全符合合同规定的质量、规格和性能的要求。保证其货物在正确安装、正常使用和保养条件下，在其使用寿命期内应具有满意的性能。在货物最终交付验收后不少于12个月的质量保证期内，应对由于设计、工艺或材料的缺陷而产生的故障负责。</w:t>
      </w:r>
    </w:p>
    <w:p w14:paraId="1D78302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000000"/>
          <w:sz w:val="24"/>
          <w:szCs w:val="24"/>
          <w:lang w:val="en-US"/>
        </w:rPr>
      </w:pPr>
      <w:r>
        <w:rPr>
          <w:rFonts w:hint="default" w:ascii="宋体" w:hAnsi="宋体" w:eastAsia="宋体" w:cs="宋体"/>
          <w:color w:val="000000"/>
          <w:sz w:val="24"/>
          <w:szCs w:val="24"/>
          <w:lang w:val="en-US"/>
        </w:rPr>
        <w:t>（2）投标人应在质量保证期内，如果货物的质量或规格与合同不符，或证实货物是有缺陷的，包括潜在的缺陷或使用不符合要求的材料等，招标人有权向成交人提出补救措施或索赔。</w:t>
      </w:r>
    </w:p>
    <w:p w14:paraId="7BDDE41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000000"/>
          <w:sz w:val="24"/>
          <w:szCs w:val="24"/>
          <w:lang w:val="en-US"/>
        </w:rPr>
      </w:pPr>
      <w:r>
        <w:rPr>
          <w:rFonts w:hint="default" w:ascii="宋体" w:hAnsi="宋体" w:eastAsia="宋体" w:cs="宋体"/>
          <w:color w:val="000000"/>
          <w:sz w:val="24"/>
          <w:szCs w:val="24"/>
          <w:lang w:val="en-US"/>
        </w:rPr>
        <w:t>（3）投标人在约定的时间内未能弥补缺陷，招标人可采取必要的补救措施，但其风险和费用将由成交人承担。</w:t>
      </w:r>
    </w:p>
    <w:p w14:paraId="299CA98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000000"/>
          <w:sz w:val="24"/>
          <w:szCs w:val="24"/>
          <w:lang w:val="en-US"/>
        </w:rPr>
      </w:pPr>
      <w:r>
        <w:rPr>
          <w:rFonts w:hint="default" w:ascii="宋体" w:hAnsi="宋体" w:eastAsia="宋体" w:cs="宋体"/>
          <w:color w:val="000000"/>
          <w:sz w:val="24"/>
          <w:szCs w:val="24"/>
          <w:lang w:val="en-US"/>
        </w:rPr>
        <w:t>3、售后服务</w:t>
      </w:r>
    </w:p>
    <w:p w14:paraId="5E97329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000000"/>
          <w:sz w:val="24"/>
          <w:szCs w:val="24"/>
          <w:lang w:val="en-US"/>
        </w:rPr>
      </w:pPr>
      <w:r>
        <w:rPr>
          <w:rFonts w:hint="default" w:ascii="宋体" w:hAnsi="宋体" w:eastAsia="宋体" w:cs="宋体"/>
          <w:color w:val="000000"/>
          <w:sz w:val="24"/>
          <w:szCs w:val="24"/>
          <w:lang w:val="en-US"/>
        </w:rPr>
        <w:t>（1）在产品质保期内须免费更换或维修。质保期过后，终身成本更换或维修。</w:t>
      </w:r>
    </w:p>
    <w:p w14:paraId="0B5891F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000000"/>
          <w:sz w:val="24"/>
          <w:szCs w:val="24"/>
          <w:lang w:val="en-US"/>
        </w:rPr>
      </w:pPr>
      <w:r>
        <w:rPr>
          <w:rFonts w:hint="default" w:ascii="宋体" w:hAnsi="宋体" w:eastAsia="宋体" w:cs="宋体"/>
          <w:color w:val="000000"/>
          <w:sz w:val="24"/>
          <w:szCs w:val="24"/>
          <w:lang w:val="en-US"/>
        </w:rPr>
        <w:t>（2）产品在使用过程中出现问题，中标人应在2小时内响应，24小时内到达现场并解决问题。</w:t>
      </w:r>
    </w:p>
    <w:p w14:paraId="120DC36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000000"/>
          <w:sz w:val="24"/>
          <w:szCs w:val="24"/>
          <w:lang w:val="en-US"/>
        </w:rPr>
      </w:pPr>
      <w:r>
        <w:rPr>
          <w:rFonts w:hint="default" w:ascii="宋体" w:hAnsi="宋体" w:eastAsia="宋体" w:cs="宋体"/>
          <w:color w:val="000000"/>
          <w:sz w:val="24"/>
          <w:szCs w:val="24"/>
          <w:lang w:val="en-US"/>
        </w:rPr>
        <w:t>（3）产品要求负责现场安装调试，提供维修工具和必要的常用零配件。</w:t>
      </w:r>
    </w:p>
    <w:p w14:paraId="65670BB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000000"/>
          <w:sz w:val="24"/>
          <w:szCs w:val="24"/>
          <w:lang w:val="en-US"/>
        </w:rPr>
      </w:pPr>
      <w:r>
        <w:rPr>
          <w:rFonts w:hint="default" w:ascii="宋体" w:hAnsi="宋体" w:eastAsia="宋体" w:cs="宋体"/>
          <w:color w:val="000000"/>
          <w:sz w:val="24"/>
          <w:szCs w:val="24"/>
          <w:lang w:val="en-US"/>
        </w:rPr>
        <w:t>（4）报价人需提供系统培训计划，培训次数不少于3次。</w:t>
      </w:r>
    </w:p>
    <w:p w14:paraId="6BBD916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000000"/>
          <w:sz w:val="24"/>
          <w:szCs w:val="24"/>
          <w:lang w:val="en-US"/>
        </w:rPr>
      </w:pPr>
      <w:r>
        <w:rPr>
          <w:rFonts w:hint="default" w:ascii="宋体" w:hAnsi="宋体" w:eastAsia="宋体" w:cs="宋体"/>
          <w:color w:val="000000"/>
          <w:sz w:val="24"/>
          <w:szCs w:val="24"/>
          <w:lang w:val="en-US"/>
        </w:rPr>
        <w:t>（5）保修及售后服务：首部枢纽部分质保期不低于3年，其余部分质保不低于2年，使用寿命（非人为损坏）土埋管材使用寿命不低于15年，其余部分使用寿命不低于10年（易损件除外）；售后技术终身无偿服务。</w:t>
      </w:r>
    </w:p>
    <w:p w14:paraId="6430D40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000000"/>
          <w:sz w:val="24"/>
          <w:szCs w:val="24"/>
          <w:lang w:val="en-US"/>
        </w:rPr>
      </w:pPr>
      <w:r>
        <w:rPr>
          <w:rFonts w:hint="default" w:ascii="宋体" w:hAnsi="宋体" w:eastAsia="宋体" w:cs="宋体"/>
          <w:color w:val="000000"/>
          <w:sz w:val="24"/>
          <w:szCs w:val="24"/>
          <w:lang w:val="en-US"/>
        </w:rPr>
        <w:t>4、合同签订及验收</w:t>
      </w:r>
    </w:p>
    <w:p w14:paraId="6D7EF6D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000000"/>
          <w:sz w:val="24"/>
          <w:szCs w:val="24"/>
          <w:lang w:val="en-US"/>
        </w:rPr>
      </w:pPr>
      <w:r>
        <w:rPr>
          <w:rFonts w:hint="default" w:ascii="宋体" w:hAnsi="宋体" w:eastAsia="宋体" w:cs="宋体"/>
          <w:color w:val="000000"/>
          <w:sz w:val="24"/>
          <w:szCs w:val="24"/>
          <w:lang w:val="en-US"/>
        </w:rPr>
        <w:t>招标人与中标人签订合同，资金支付由招标人根据各地块安装进度实际情况合理安排支付。投标人在投标时应提供各基地地块详细清单及施工图，按清单据实结算且项目总价不超过：1500亩（具体地块面积以第三方实际测绘亩数为准）*中标人的投标报价；中标人和招标人及县蓝莓产业服务发展中心等单位共同实施验收工作，结果和验收报告经双方确认后生效。</w:t>
      </w:r>
    </w:p>
    <w:p w14:paraId="5F33F507">
      <w:pPr>
        <w:rPr>
          <w:rFonts w:hint="eastAsia"/>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BD90A2"/>
    <w:multiLevelType w:val="singleLevel"/>
    <w:tmpl w:val="C0BD90A2"/>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5OTVmMGZiNjA0N2M5NDhiNWRiMTFiZGYxNGY1YTcifQ=="/>
  </w:docVars>
  <w:rsids>
    <w:rsidRoot w:val="00000000"/>
    <w:rsid w:val="02C221DB"/>
    <w:rsid w:val="07507A55"/>
    <w:rsid w:val="07A77AC1"/>
    <w:rsid w:val="08024F64"/>
    <w:rsid w:val="0A18444A"/>
    <w:rsid w:val="0ACA41BF"/>
    <w:rsid w:val="0D1E3107"/>
    <w:rsid w:val="0F130DC8"/>
    <w:rsid w:val="118306AD"/>
    <w:rsid w:val="11CE5036"/>
    <w:rsid w:val="137E2D1B"/>
    <w:rsid w:val="13FB5B8F"/>
    <w:rsid w:val="155639C9"/>
    <w:rsid w:val="191C2674"/>
    <w:rsid w:val="1B293176"/>
    <w:rsid w:val="1C933492"/>
    <w:rsid w:val="1FC300D1"/>
    <w:rsid w:val="22331934"/>
    <w:rsid w:val="23B677B2"/>
    <w:rsid w:val="26D229A9"/>
    <w:rsid w:val="2817215E"/>
    <w:rsid w:val="290953E5"/>
    <w:rsid w:val="296E4C74"/>
    <w:rsid w:val="2BA54513"/>
    <w:rsid w:val="2CD04CD7"/>
    <w:rsid w:val="2F1E42CA"/>
    <w:rsid w:val="2F8E7830"/>
    <w:rsid w:val="33134E74"/>
    <w:rsid w:val="38706856"/>
    <w:rsid w:val="38D9526E"/>
    <w:rsid w:val="3924527B"/>
    <w:rsid w:val="3B9C752A"/>
    <w:rsid w:val="3BB75B27"/>
    <w:rsid w:val="3BED2703"/>
    <w:rsid w:val="3C5C6EA8"/>
    <w:rsid w:val="40715B46"/>
    <w:rsid w:val="41A43864"/>
    <w:rsid w:val="4433352C"/>
    <w:rsid w:val="45C8248D"/>
    <w:rsid w:val="46D174BE"/>
    <w:rsid w:val="46D43E50"/>
    <w:rsid w:val="48DC7235"/>
    <w:rsid w:val="48E42A31"/>
    <w:rsid w:val="4BE76329"/>
    <w:rsid w:val="50153434"/>
    <w:rsid w:val="55AD5C6F"/>
    <w:rsid w:val="58061FB3"/>
    <w:rsid w:val="58910D55"/>
    <w:rsid w:val="58C40B58"/>
    <w:rsid w:val="5BA30D37"/>
    <w:rsid w:val="6223037D"/>
    <w:rsid w:val="6562352B"/>
    <w:rsid w:val="706978A3"/>
    <w:rsid w:val="724C193E"/>
    <w:rsid w:val="727B1A8A"/>
    <w:rsid w:val="74BD226A"/>
    <w:rsid w:val="74DF4A61"/>
    <w:rsid w:val="760D22B2"/>
    <w:rsid w:val="76431BD1"/>
    <w:rsid w:val="78D30726"/>
    <w:rsid w:val="7D6202AB"/>
    <w:rsid w:val="7D7E69F1"/>
    <w:rsid w:val="7E436770"/>
    <w:rsid w:val="7E6F3B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qFormat/>
    <w:uiPriority w:val="1"/>
    <w:rPr>
      <w:rFonts w:ascii="宋体" w:hAnsi="宋体" w:eastAsia="宋体" w:cs="宋体"/>
      <w:sz w:val="21"/>
      <w:szCs w:val="21"/>
      <w:lang w:val="zh-CN" w:eastAsia="zh-CN" w:bidi="zh-CN"/>
    </w:rPr>
  </w:style>
  <w:style w:type="paragraph" w:styleId="3">
    <w:name w:val="Body Text Indent"/>
    <w:basedOn w:val="1"/>
    <w:qFormat/>
    <w:uiPriority w:val="99"/>
    <w:pPr>
      <w:spacing w:after="120"/>
      <w:ind w:left="420" w:leftChars="200"/>
    </w:pPr>
  </w:style>
  <w:style w:type="paragraph" w:styleId="4">
    <w:name w:val="Body Text First Indent 2"/>
    <w:basedOn w:val="3"/>
    <w:next w:val="1"/>
    <w:autoRedefine/>
    <w:qFormat/>
    <w:uiPriority w:val="99"/>
    <w:pPr>
      <w:ind w:firstLine="420"/>
    </w:pPr>
    <w:rPr>
      <w:rFonts w:ascii="Times New Roman" w:hAnsi="Times New Roman"/>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6083</Words>
  <Characters>6687</Characters>
  <Lines>0</Lines>
  <Paragraphs>0</Paragraphs>
  <TotalTime>0</TotalTime>
  <ScaleCrop>false</ScaleCrop>
  <LinksUpToDate>false</LinksUpToDate>
  <CharactersWithSpaces>6751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2022-04-21T03:18:00Z</dcterms:created>
  <dc:creator>admin</dc:creator>
  <cp:lastModifiedBy>徐云云</cp:lastModifiedBy>
  <cp:lastPrinted>2023-10-16T02:53:00Z</cp:lastPrinted>
  <dcterms:modified xsi:type="dcterms:W3CDTF">2025-01-23T03:38:16Z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BED90688AFD943A8A7CEED4FC7012E8D_13</vt:lpwstr>
  </property>
  <property fmtid="{D5CDD505-2E9C-101B-9397-08002B2CF9AE}" pid="4" name="commondata">
    <vt:lpwstr>eyJoZGlkIjoiZWQ0ZmRlZTM3N2M5MGExMGI5OTU0NmY1MmE0YTczOGUifQ==</vt:lpwstr>
  </property>
  <property fmtid="{D5CDD505-2E9C-101B-9397-08002B2CF9AE}" pid="5" name="KSOTemplateDocerSaveRecord">
    <vt:lpwstr>eyJoZGlkIjoiYTY4YTI4OGNlNWRlZTdjMjJmMTcyOTg1YjQ2YzhhMDkiLCJ1c2VySWQiOiI1ODI4NjU2NTkifQ==</vt:lpwstr>
  </property>
</Properties>
</file>